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1F" w:rsidRPr="00933C1F" w:rsidRDefault="00142167" w:rsidP="00142167">
      <w:pPr>
        <w:spacing w:after="0" w:line="240" w:lineRule="auto"/>
        <w:contextualSpacing/>
        <w:jc w:val="center"/>
        <w:rPr>
          <w:rFonts w:ascii="Times New Roman" w:eastAsia="Calibri" w:hAnsi="Times New Roman" w:cs="Times New Roman"/>
          <w:sz w:val="28"/>
          <w:szCs w:val="28"/>
          <w:lang w:val="uk-UA"/>
        </w:rPr>
      </w:pPr>
      <w:r w:rsidRPr="00142167">
        <w:rPr>
          <w:rFonts w:ascii="Times New Roman" w:eastAsia="Calibri" w:hAnsi="Times New Roman" w:cs="Times New Roman"/>
          <w:sz w:val="28"/>
          <w:szCs w:val="28"/>
          <w:lang w:val="uk-UA"/>
        </w:rPr>
        <w:object w:dxaOrig="9060" w:dyaOrig="12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36pt" o:ole="">
            <v:imagedata r:id="rId9" o:title=""/>
          </v:shape>
          <o:OLEObject Type="Embed" ProgID="Acrobat.Document.DC" ShapeID="_x0000_i1025" DrawAspect="Content" ObjectID="_1718619378" r:id="rId10"/>
        </w:object>
      </w:r>
    </w:p>
    <w:p w:rsidR="00142167" w:rsidRDefault="00142167" w:rsidP="00933C1F">
      <w:pPr>
        <w:spacing w:after="0" w:line="240" w:lineRule="auto"/>
        <w:contextualSpacing/>
        <w:rPr>
          <w:rFonts w:ascii="Times New Roman" w:eastAsia="Calibri" w:hAnsi="Times New Roman" w:cs="Times New Roman"/>
          <w:sz w:val="28"/>
          <w:szCs w:val="28"/>
          <w:lang w:val="uk-UA"/>
        </w:rPr>
      </w:pPr>
    </w:p>
    <w:p w:rsidR="00142167" w:rsidRDefault="00142167" w:rsidP="00933C1F">
      <w:pPr>
        <w:spacing w:after="0" w:line="240" w:lineRule="auto"/>
        <w:contextualSpacing/>
        <w:rPr>
          <w:rFonts w:ascii="Times New Roman" w:eastAsia="Calibri" w:hAnsi="Times New Roman" w:cs="Times New Roman"/>
          <w:sz w:val="28"/>
          <w:szCs w:val="28"/>
          <w:lang w:val="uk-UA"/>
        </w:rPr>
      </w:pPr>
    </w:p>
    <w:p w:rsidR="00142167" w:rsidRDefault="00142167" w:rsidP="00933C1F">
      <w:pPr>
        <w:spacing w:after="0" w:line="240" w:lineRule="auto"/>
        <w:contextualSpacing/>
        <w:rPr>
          <w:rFonts w:ascii="Times New Roman" w:eastAsia="Calibri" w:hAnsi="Times New Roman" w:cs="Times New Roman"/>
          <w:sz w:val="28"/>
          <w:szCs w:val="28"/>
          <w:lang w:val="uk-UA"/>
        </w:rPr>
      </w:pPr>
    </w:p>
    <w:p w:rsidR="00142167" w:rsidRDefault="00142167" w:rsidP="00933C1F">
      <w:pPr>
        <w:spacing w:after="0" w:line="240" w:lineRule="auto"/>
        <w:contextualSpacing/>
        <w:rPr>
          <w:rFonts w:ascii="Times New Roman" w:eastAsia="Calibri" w:hAnsi="Times New Roman" w:cs="Times New Roman"/>
          <w:sz w:val="28"/>
          <w:szCs w:val="28"/>
          <w:lang w:val="uk-UA"/>
        </w:rPr>
      </w:pPr>
    </w:p>
    <w:p w:rsidR="00142167" w:rsidRDefault="00142167" w:rsidP="00933C1F">
      <w:pPr>
        <w:spacing w:after="0" w:line="240" w:lineRule="auto"/>
        <w:contextualSpacing/>
        <w:rPr>
          <w:rFonts w:ascii="Times New Roman" w:eastAsia="Calibri" w:hAnsi="Times New Roman" w:cs="Times New Roman"/>
          <w:sz w:val="28"/>
          <w:szCs w:val="28"/>
          <w:lang w:val="uk-UA"/>
        </w:rPr>
      </w:pPr>
    </w:p>
    <w:p w:rsidR="00F97BD6" w:rsidRPr="00F97BD6" w:rsidRDefault="00F97BD6" w:rsidP="00D75350">
      <w:pPr>
        <w:pStyle w:val="1"/>
        <w:spacing w:before="0" w:line="240" w:lineRule="auto"/>
        <w:contextualSpacing/>
        <w:jc w:val="center"/>
        <w:rPr>
          <w:rFonts w:ascii="Times New Roman" w:hAnsi="Times New Roman" w:cs="Times New Roman"/>
          <w:lang w:val="uk-UA"/>
        </w:rPr>
      </w:pPr>
      <w:bookmarkStart w:id="0" w:name="_Toc69652396"/>
      <w:bookmarkStart w:id="1" w:name="_GoBack"/>
      <w:bookmarkEnd w:id="1"/>
      <w:r w:rsidRPr="00F97BD6">
        <w:rPr>
          <w:rFonts w:ascii="Times New Roman" w:hAnsi="Times New Roman" w:cs="Times New Roman"/>
          <w:lang w:val="uk-UA"/>
        </w:rPr>
        <w:lastRenderedPageBreak/>
        <w:t>ЗМІСТ</w:t>
      </w:r>
      <w:bookmarkEnd w:id="0"/>
    </w:p>
    <w:sdt>
      <w:sdtPr>
        <w:rPr>
          <w:rFonts w:asciiTheme="minorHAnsi" w:eastAsiaTheme="minorHAnsi" w:hAnsiTheme="minorHAnsi" w:cstheme="minorBidi"/>
          <w:b w:val="0"/>
          <w:bCs w:val="0"/>
          <w:color w:val="auto"/>
          <w:sz w:val="22"/>
          <w:szCs w:val="22"/>
          <w:lang w:eastAsia="en-US"/>
        </w:rPr>
        <w:id w:val="1068616851"/>
        <w:docPartObj>
          <w:docPartGallery w:val="Table of Contents"/>
          <w:docPartUnique/>
        </w:docPartObj>
      </w:sdtPr>
      <w:sdtEndPr/>
      <w:sdtContent>
        <w:p w:rsidR="00F97BD6" w:rsidRPr="004A3AE1" w:rsidRDefault="00F97BD6" w:rsidP="00D75350">
          <w:pPr>
            <w:pStyle w:val="ae"/>
            <w:spacing w:before="0" w:line="240" w:lineRule="auto"/>
            <w:contextualSpacing/>
            <w:rPr>
              <w:rFonts w:ascii="Times New Roman" w:hAnsi="Times New Roman" w:cs="Times New Roman"/>
            </w:rPr>
          </w:pPr>
        </w:p>
        <w:p w:rsidR="004A3AE1" w:rsidRPr="00B64A85" w:rsidRDefault="00F97BD6">
          <w:pPr>
            <w:pStyle w:val="14"/>
            <w:tabs>
              <w:tab w:val="right" w:leader="dot" w:pos="9628"/>
            </w:tabs>
            <w:rPr>
              <w:rFonts w:ascii="Times New Roman" w:eastAsiaTheme="minorEastAsia" w:hAnsi="Times New Roman" w:cs="Times New Roman"/>
              <w:noProof/>
              <w:sz w:val="28"/>
              <w:szCs w:val="28"/>
              <w:lang w:eastAsia="ru-RU"/>
            </w:rPr>
          </w:pPr>
          <w:r w:rsidRPr="004A3AE1">
            <w:rPr>
              <w:rFonts w:ascii="Times New Roman" w:hAnsi="Times New Roman" w:cs="Times New Roman"/>
              <w:b/>
              <w:sz w:val="28"/>
              <w:szCs w:val="28"/>
            </w:rPr>
            <w:fldChar w:fldCharType="begin"/>
          </w:r>
          <w:r w:rsidRPr="004A3AE1">
            <w:rPr>
              <w:rFonts w:ascii="Times New Roman" w:hAnsi="Times New Roman" w:cs="Times New Roman"/>
              <w:b/>
              <w:sz w:val="28"/>
              <w:szCs w:val="28"/>
            </w:rPr>
            <w:instrText xml:space="preserve"> TOC \o "1-3" \h \z \u </w:instrText>
          </w:r>
          <w:r w:rsidRPr="004A3AE1">
            <w:rPr>
              <w:rFonts w:ascii="Times New Roman" w:hAnsi="Times New Roman" w:cs="Times New Roman"/>
              <w:b/>
              <w:sz w:val="28"/>
              <w:szCs w:val="28"/>
            </w:rPr>
            <w:fldChar w:fldCharType="separate"/>
          </w:r>
          <w:hyperlink w:anchor="_Toc69652396" w:history="1">
            <w:r w:rsidR="004A3AE1" w:rsidRPr="00B64A85">
              <w:rPr>
                <w:rStyle w:val="a7"/>
                <w:rFonts w:ascii="Times New Roman" w:hAnsi="Times New Roman" w:cs="Times New Roman"/>
                <w:noProof/>
                <w:sz w:val="28"/>
                <w:szCs w:val="28"/>
                <w:lang w:val="uk-UA"/>
              </w:rPr>
              <w:t>ЗМІСТ</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_Toc69652396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3</w:t>
            </w:r>
            <w:r w:rsidR="004A3AE1" w:rsidRPr="00B64A85">
              <w:rPr>
                <w:rFonts w:ascii="Times New Roman" w:hAnsi="Times New Roman" w:cs="Times New Roman"/>
                <w:noProof/>
                <w:webHidden/>
                <w:sz w:val="28"/>
                <w:szCs w:val="28"/>
              </w:rPr>
              <w:fldChar w:fldCharType="end"/>
            </w:r>
          </w:hyperlink>
        </w:p>
        <w:p w:rsidR="004A3AE1" w:rsidRPr="00B64A85" w:rsidRDefault="00005F9E">
          <w:pPr>
            <w:pStyle w:val="14"/>
            <w:tabs>
              <w:tab w:val="right" w:leader="dot" w:pos="9628"/>
            </w:tabs>
            <w:rPr>
              <w:rFonts w:ascii="Times New Roman" w:eastAsiaTheme="minorEastAsia" w:hAnsi="Times New Roman" w:cs="Times New Roman"/>
              <w:noProof/>
              <w:sz w:val="28"/>
              <w:szCs w:val="28"/>
              <w:lang w:eastAsia="ru-RU"/>
            </w:rPr>
          </w:pPr>
          <w:hyperlink w:anchor="_Toc69652397" w:history="1">
            <w:r w:rsidR="004A3AE1" w:rsidRPr="00B64A85">
              <w:rPr>
                <w:rStyle w:val="a7"/>
                <w:rFonts w:ascii="Times New Roman" w:eastAsia="Times New Roman" w:hAnsi="Times New Roman" w:cs="Times New Roman"/>
                <w:noProof/>
                <w:sz w:val="28"/>
                <w:szCs w:val="28"/>
                <w:lang w:val="uk-UA"/>
              </w:rPr>
              <w:t>ПОЯСНЮВАЛЬНА ЗАПИСКА</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_Toc69652397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4</w:t>
            </w:r>
            <w:r w:rsidR="004A3AE1" w:rsidRPr="00B64A85">
              <w:rPr>
                <w:rFonts w:ascii="Times New Roman" w:hAnsi="Times New Roman" w:cs="Times New Roman"/>
                <w:noProof/>
                <w:webHidden/>
                <w:sz w:val="28"/>
                <w:szCs w:val="28"/>
              </w:rPr>
              <w:fldChar w:fldCharType="end"/>
            </w:r>
          </w:hyperlink>
        </w:p>
        <w:p w:rsidR="004A3AE1" w:rsidRPr="00B64A85" w:rsidRDefault="00005F9E">
          <w:pPr>
            <w:pStyle w:val="14"/>
            <w:tabs>
              <w:tab w:val="right" w:leader="dot" w:pos="9628"/>
            </w:tabs>
            <w:rPr>
              <w:rFonts w:ascii="Times New Roman" w:eastAsiaTheme="minorEastAsia" w:hAnsi="Times New Roman" w:cs="Times New Roman"/>
              <w:noProof/>
              <w:sz w:val="28"/>
              <w:szCs w:val="28"/>
              <w:lang w:eastAsia="ru-RU"/>
            </w:rPr>
          </w:pPr>
          <w:hyperlink w:anchor="_Toc69652398" w:history="1">
            <w:r w:rsidR="004A3AE1" w:rsidRPr="00B64A85">
              <w:rPr>
                <w:rStyle w:val="a7"/>
                <w:rFonts w:ascii="Times New Roman" w:eastAsia="Times New Roman" w:hAnsi="Times New Roman" w:cs="Times New Roman"/>
                <w:noProof/>
                <w:sz w:val="28"/>
                <w:szCs w:val="28"/>
                <w:lang w:val="uk-UA"/>
              </w:rPr>
              <w:t>КРИТЕРІЇ ТА ПОРЯДОК ОЦІНЮВАННЯ, СТРУКТУРА ОЦІНКИ</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_Toc69652398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6</w:t>
            </w:r>
            <w:r w:rsidR="004A3AE1" w:rsidRPr="00B64A85">
              <w:rPr>
                <w:rFonts w:ascii="Times New Roman" w:hAnsi="Times New Roman" w:cs="Times New Roman"/>
                <w:noProof/>
                <w:webHidden/>
                <w:sz w:val="28"/>
                <w:szCs w:val="28"/>
              </w:rPr>
              <w:fldChar w:fldCharType="end"/>
            </w:r>
          </w:hyperlink>
        </w:p>
        <w:p w:rsidR="004A3AE1" w:rsidRPr="00B64A85" w:rsidRDefault="00005F9E">
          <w:pPr>
            <w:pStyle w:val="14"/>
            <w:tabs>
              <w:tab w:val="right" w:leader="dot" w:pos="9628"/>
            </w:tabs>
            <w:rPr>
              <w:rFonts w:ascii="Times New Roman" w:eastAsiaTheme="minorEastAsia" w:hAnsi="Times New Roman" w:cs="Times New Roman"/>
              <w:noProof/>
              <w:sz w:val="28"/>
              <w:szCs w:val="28"/>
              <w:lang w:eastAsia="ru-RU"/>
            </w:rPr>
          </w:pPr>
          <w:hyperlink w:anchor="_Toc69652399" w:history="1">
            <w:r w:rsidR="004A3AE1" w:rsidRPr="00B64A85">
              <w:rPr>
                <w:rStyle w:val="a7"/>
                <w:rFonts w:ascii="Times New Roman" w:eastAsia="Calibri" w:hAnsi="Times New Roman" w:cs="Times New Roman"/>
                <w:noProof/>
                <w:sz w:val="28"/>
                <w:szCs w:val="28"/>
                <w:lang w:val="uk-UA"/>
              </w:rPr>
              <w:t>ПЕРЕЛІК ПИТАНЬ ДО ВСТУПНОГО ІСПИТУ</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_Toc69652399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9</w:t>
            </w:r>
            <w:r w:rsidR="004A3AE1" w:rsidRPr="00B64A85">
              <w:rPr>
                <w:rFonts w:ascii="Times New Roman" w:hAnsi="Times New Roman" w:cs="Times New Roman"/>
                <w:noProof/>
                <w:webHidden/>
                <w:sz w:val="28"/>
                <w:szCs w:val="28"/>
              </w:rPr>
              <w:fldChar w:fldCharType="end"/>
            </w:r>
          </w:hyperlink>
        </w:p>
        <w:p w:rsidR="004A3AE1" w:rsidRPr="00B64A85" w:rsidRDefault="00005F9E">
          <w:pPr>
            <w:pStyle w:val="14"/>
            <w:tabs>
              <w:tab w:val="right" w:leader="dot" w:pos="9628"/>
            </w:tabs>
            <w:rPr>
              <w:rFonts w:ascii="Times New Roman" w:eastAsiaTheme="minorEastAsia" w:hAnsi="Times New Roman" w:cs="Times New Roman"/>
              <w:noProof/>
              <w:sz w:val="28"/>
              <w:szCs w:val="28"/>
              <w:lang w:eastAsia="ru-RU"/>
            </w:rPr>
          </w:pPr>
          <w:hyperlink w:anchor="_Toc69652400" w:history="1">
            <w:r w:rsidR="004A3AE1" w:rsidRPr="00B64A85">
              <w:rPr>
                <w:rStyle w:val="a7"/>
                <w:rFonts w:ascii="Times New Roman" w:hAnsi="Times New Roman" w:cs="Times New Roman"/>
                <w:noProof/>
                <w:sz w:val="28"/>
                <w:szCs w:val="28"/>
              </w:rPr>
              <w:t>ПЕРЕЛІК ОРІЄНТОВНИХ ТЕМ РЕФЕРАТІВ</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_Toc69652400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12</w:t>
            </w:r>
            <w:r w:rsidR="004A3AE1" w:rsidRPr="00B64A85">
              <w:rPr>
                <w:rFonts w:ascii="Times New Roman" w:hAnsi="Times New Roman" w:cs="Times New Roman"/>
                <w:noProof/>
                <w:webHidden/>
                <w:sz w:val="28"/>
                <w:szCs w:val="28"/>
              </w:rPr>
              <w:fldChar w:fldCharType="end"/>
            </w:r>
          </w:hyperlink>
        </w:p>
        <w:p w:rsidR="004A3AE1" w:rsidRPr="00B64A85" w:rsidRDefault="00005F9E">
          <w:pPr>
            <w:pStyle w:val="14"/>
            <w:tabs>
              <w:tab w:val="right" w:leader="dot" w:pos="9628"/>
            </w:tabs>
            <w:rPr>
              <w:rFonts w:ascii="Times New Roman" w:eastAsiaTheme="minorEastAsia" w:hAnsi="Times New Roman" w:cs="Times New Roman"/>
              <w:noProof/>
              <w:sz w:val="28"/>
              <w:szCs w:val="28"/>
              <w:lang w:eastAsia="ru-RU"/>
            </w:rPr>
          </w:pPr>
          <w:hyperlink w:anchor="_Toc69652401" w:history="1">
            <w:r w:rsidR="004A3AE1" w:rsidRPr="00B64A85">
              <w:rPr>
                <w:rStyle w:val="a7"/>
                <w:rFonts w:ascii="Times New Roman" w:hAnsi="Times New Roman" w:cs="Times New Roman"/>
                <w:noProof/>
                <w:sz w:val="28"/>
                <w:szCs w:val="28"/>
              </w:rPr>
              <w:t>ПЕРЕЛІК РЕКОМЕНДОВАНОЇ ЛІТЕРАТУРИ</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_Toc69652401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13</w:t>
            </w:r>
            <w:r w:rsidR="004A3AE1" w:rsidRPr="00B64A85">
              <w:rPr>
                <w:rFonts w:ascii="Times New Roman" w:hAnsi="Times New Roman" w:cs="Times New Roman"/>
                <w:noProof/>
                <w:webHidden/>
                <w:sz w:val="28"/>
                <w:szCs w:val="28"/>
              </w:rPr>
              <w:fldChar w:fldCharType="end"/>
            </w:r>
          </w:hyperlink>
        </w:p>
        <w:p w:rsidR="004A3AE1" w:rsidRPr="004A3AE1" w:rsidRDefault="00005F9E">
          <w:pPr>
            <w:pStyle w:val="14"/>
            <w:tabs>
              <w:tab w:val="right" w:leader="dot" w:pos="9628"/>
            </w:tabs>
            <w:rPr>
              <w:rFonts w:ascii="Times New Roman" w:eastAsiaTheme="minorEastAsia" w:hAnsi="Times New Roman" w:cs="Times New Roman"/>
              <w:b/>
              <w:noProof/>
              <w:sz w:val="28"/>
              <w:szCs w:val="28"/>
              <w:lang w:eastAsia="ru-RU"/>
            </w:rPr>
          </w:pPr>
          <w:hyperlink w:anchor="_Toc69652402" w:history="1">
            <w:r w:rsidR="004A3AE1" w:rsidRPr="00B64A85">
              <w:rPr>
                <w:rStyle w:val="a7"/>
                <w:rFonts w:ascii="Times New Roman" w:eastAsia="Times New Roman" w:hAnsi="Times New Roman" w:cs="Times New Roman"/>
                <w:noProof/>
                <w:sz w:val="28"/>
                <w:szCs w:val="28"/>
                <w:lang w:val="uk-UA"/>
              </w:rPr>
              <w:t>ВИМОГИ ДО ОФОРМЛЕННЯ НАУКОВОЇ ДОПОВІДІ (РЕФЕРАТУ)</w:t>
            </w:r>
            <w:r w:rsidR="004A3AE1" w:rsidRPr="00B64A85">
              <w:rPr>
                <w:rFonts w:ascii="Times New Roman" w:hAnsi="Times New Roman" w:cs="Times New Roman"/>
                <w:noProof/>
                <w:webHidden/>
                <w:sz w:val="28"/>
                <w:szCs w:val="28"/>
              </w:rPr>
              <w:tab/>
            </w:r>
            <w:r w:rsidR="004A3AE1" w:rsidRPr="00B64A85">
              <w:rPr>
                <w:rFonts w:ascii="Times New Roman" w:hAnsi="Times New Roman" w:cs="Times New Roman"/>
                <w:noProof/>
                <w:webHidden/>
                <w:sz w:val="28"/>
                <w:szCs w:val="28"/>
              </w:rPr>
              <w:fldChar w:fldCharType="begin"/>
            </w:r>
            <w:r w:rsidR="004A3AE1" w:rsidRPr="00B64A85">
              <w:rPr>
                <w:rFonts w:ascii="Times New Roman" w:hAnsi="Times New Roman" w:cs="Times New Roman"/>
                <w:noProof/>
                <w:webHidden/>
                <w:sz w:val="28"/>
                <w:szCs w:val="28"/>
              </w:rPr>
              <w:instrText xml:space="preserve"> PAGEREF _Toc69652402 \h </w:instrText>
            </w:r>
            <w:r w:rsidR="004A3AE1" w:rsidRPr="00B64A85">
              <w:rPr>
                <w:rFonts w:ascii="Times New Roman" w:hAnsi="Times New Roman" w:cs="Times New Roman"/>
                <w:noProof/>
                <w:webHidden/>
                <w:sz w:val="28"/>
                <w:szCs w:val="28"/>
              </w:rPr>
            </w:r>
            <w:r w:rsidR="004A3AE1" w:rsidRPr="00B64A85">
              <w:rPr>
                <w:rFonts w:ascii="Times New Roman" w:hAnsi="Times New Roman" w:cs="Times New Roman"/>
                <w:noProof/>
                <w:webHidden/>
                <w:sz w:val="28"/>
                <w:szCs w:val="28"/>
              </w:rPr>
              <w:fldChar w:fldCharType="separate"/>
            </w:r>
            <w:r w:rsidR="004A3AE1" w:rsidRPr="00B64A85">
              <w:rPr>
                <w:rFonts w:ascii="Times New Roman" w:hAnsi="Times New Roman" w:cs="Times New Roman"/>
                <w:noProof/>
                <w:webHidden/>
                <w:sz w:val="28"/>
                <w:szCs w:val="28"/>
              </w:rPr>
              <w:t>24</w:t>
            </w:r>
            <w:r w:rsidR="004A3AE1" w:rsidRPr="00B64A85">
              <w:rPr>
                <w:rFonts w:ascii="Times New Roman" w:hAnsi="Times New Roman" w:cs="Times New Roman"/>
                <w:noProof/>
                <w:webHidden/>
                <w:sz w:val="28"/>
                <w:szCs w:val="28"/>
              </w:rPr>
              <w:fldChar w:fldCharType="end"/>
            </w:r>
          </w:hyperlink>
        </w:p>
        <w:p w:rsidR="00F97BD6" w:rsidRPr="00AA1A8D" w:rsidRDefault="00F97BD6" w:rsidP="00D75350">
          <w:pPr>
            <w:spacing w:after="0" w:line="240" w:lineRule="auto"/>
            <w:contextualSpacing/>
            <w:rPr>
              <w:b/>
            </w:rPr>
          </w:pPr>
          <w:r w:rsidRPr="004A3AE1">
            <w:rPr>
              <w:rFonts w:ascii="Times New Roman" w:hAnsi="Times New Roman" w:cs="Times New Roman"/>
              <w:b/>
              <w:bCs/>
              <w:sz w:val="28"/>
              <w:szCs w:val="28"/>
            </w:rPr>
            <w:fldChar w:fldCharType="end"/>
          </w:r>
        </w:p>
      </w:sdtContent>
    </w:sdt>
    <w:p w:rsidR="000A3652" w:rsidRDefault="000A3652" w:rsidP="00F97BD6">
      <w:pPr>
        <w:spacing w:after="0" w:line="240" w:lineRule="auto"/>
        <w:contextualSpacing/>
        <w:rPr>
          <w:rFonts w:ascii="Times New Roman" w:hAnsi="Times New Roman" w:cs="Times New Roman"/>
          <w:b/>
          <w:bCs/>
          <w:sz w:val="28"/>
          <w:szCs w:val="28"/>
          <w:lang w:val="uk-UA"/>
        </w:rPr>
      </w:pPr>
    </w:p>
    <w:p w:rsidR="00EB464F" w:rsidRPr="00E052C1" w:rsidRDefault="000A3652" w:rsidP="002A1ACF">
      <w:pPr>
        <w:pStyle w:val="1"/>
        <w:spacing w:before="0" w:line="240" w:lineRule="auto"/>
        <w:contextualSpacing/>
        <w:jc w:val="center"/>
        <w:rPr>
          <w:rFonts w:ascii="Times New Roman" w:eastAsia="Times New Roman" w:hAnsi="Times New Roman" w:cs="Times New Roman"/>
          <w:lang w:val="uk-UA"/>
        </w:rPr>
      </w:pPr>
      <w:r>
        <w:rPr>
          <w:lang w:val="uk-UA"/>
        </w:rPr>
        <w:br w:type="column"/>
      </w:r>
      <w:bookmarkStart w:id="2" w:name="_Toc69645700"/>
      <w:bookmarkStart w:id="3" w:name="_Toc69652397"/>
      <w:r w:rsidR="00EB464F" w:rsidRPr="00E052C1">
        <w:rPr>
          <w:rFonts w:ascii="Times New Roman" w:eastAsia="Times New Roman" w:hAnsi="Times New Roman" w:cs="Times New Roman"/>
          <w:lang w:val="uk-UA"/>
        </w:rPr>
        <w:lastRenderedPageBreak/>
        <w:t>ПОЯСНЮВАЛЬНА ЗАПИСКА</w:t>
      </w:r>
      <w:bookmarkEnd w:id="2"/>
      <w:bookmarkEnd w:id="3"/>
    </w:p>
    <w:p w:rsidR="00EB464F" w:rsidRPr="00EB464F" w:rsidRDefault="00EB464F" w:rsidP="002A1ACF">
      <w:pPr>
        <w:spacing w:after="0" w:line="240" w:lineRule="auto"/>
        <w:contextualSpacing/>
        <w:jc w:val="center"/>
        <w:rPr>
          <w:rFonts w:ascii="Times New Roman" w:eastAsia="Calibri" w:hAnsi="Times New Roman" w:cs="Times New Roman"/>
          <w:sz w:val="28"/>
          <w:szCs w:val="28"/>
          <w:lang w:val="uk-UA"/>
        </w:rPr>
      </w:pP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Основною формою підготовки здобувачів ступеня доктора філософії на третьому (освітньо-науковому) рівні вищої освіти є аспірантура</w:t>
      </w:r>
      <w:r w:rsidRPr="00EB464F">
        <w:rPr>
          <w:rFonts w:ascii="Calibri" w:eastAsia="Calibri" w:hAnsi="Calibri" w:cs="Times New Roman"/>
          <w:lang w:val="uk-UA"/>
        </w:rPr>
        <w:t xml:space="preserve"> </w:t>
      </w:r>
      <w:r w:rsidRPr="00EB464F">
        <w:rPr>
          <w:rFonts w:ascii="Times New Roman" w:eastAsia="Calibri" w:hAnsi="Times New Roman" w:cs="Times New Roman"/>
          <w:sz w:val="28"/>
          <w:szCs w:val="28"/>
          <w:lang w:val="uk-UA"/>
        </w:rPr>
        <w:t>закладу вищої освіти (наукової установи) за очною (денною, вечірньою) або заочною формою навчання.</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Підготовка в аспірантурі передбачає виконання особою відповідної освітньо-наукової програми НУОЗ України імені П. Л. Шупика за певною спеціальністю та проведення власного наукового дослідження. Невід’ємною складовою освітньо-наукової програми аспірантури є підготовка та публікація наукових статей.</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НУОЗ України імені П. Л. Шупика здійснює прийом до аспірантури на здобуття ступеня доктора філософії за науковими спеціальностями (спеціалізаціями) відповідно до ліцензії на надання освітніх послуг на третьому (освітньо-науковому) рівні.</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Для здобуття ступеня доктора філософії за спеціальностями медичного спрямування на конкурсній основі приймаються особи, які здобули ступінь магістра (освітньо-кваліфікаційний рівень спеціаліста) з відповідної спеціальності медичного спрямування та мають сертифікат лікаря-спеціаліста за спеціальністю, що відповідає спеціальності аспірантури. Для здобуття ступеня доктора філософії за іншими ліцензованими спеціальностями на конкурсній основі приймаються особи, які здобули ступінь магістра (освітньо-кваліфікаційний рівень спеціаліста).</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Прийом документів для вступу в аспірантуру здійснюється на конкурсних засадах після оголошення конкурсу в засобах масової інформації та на офіційному вебсайті НУОЗ України імені П. Л. Шупика. До вступних випробувань на навчання із здобуття вищої освіти ступеня доктора філософії допускаються вступники, які вчасно подали всі необхідні для вступу документи.</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Вступники до аспірантури НУОЗ України імені П. Л. Шупика складають іспит із спеціальності (в обсязі програми рівня вищої освіти магістра з відповідної спеціальності).</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bCs/>
          <w:sz w:val="28"/>
          <w:szCs w:val="28"/>
          <w:lang w:val="uk-UA"/>
        </w:rPr>
        <w:t xml:space="preserve">Метою вступного випробування на навчання  для здобуття вищої освіти ступеня доктора філософії в аспірантурі </w:t>
      </w:r>
      <w:r w:rsidRPr="00EB464F">
        <w:rPr>
          <w:rFonts w:ascii="Times New Roman" w:eastAsia="Calibri" w:hAnsi="Times New Roman" w:cs="Times New Roman"/>
          <w:sz w:val="28"/>
          <w:szCs w:val="28"/>
          <w:lang w:val="uk-UA"/>
        </w:rPr>
        <w:t>за спеціальністю є</w:t>
      </w:r>
      <w:r w:rsidRPr="00EB464F">
        <w:rPr>
          <w:rFonts w:ascii="Times New Roman" w:eastAsia="Calibri" w:hAnsi="Times New Roman" w:cs="Times New Roman"/>
          <w:sz w:val="28"/>
          <w:szCs w:val="28"/>
        </w:rPr>
        <w:t> </w:t>
      </w:r>
      <w:r w:rsidRPr="00EB464F">
        <w:rPr>
          <w:rFonts w:ascii="Times New Roman" w:eastAsia="Calibri" w:hAnsi="Times New Roman" w:cs="Times New Roman"/>
          <w:sz w:val="28"/>
          <w:szCs w:val="28"/>
          <w:lang w:val="uk-UA"/>
        </w:rPr>
        <w:t>визначення рівня підготовки вступника щодо виконання науково-дослідної роботи.</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 xml:space="preserve">Зміст програми </w:t>
      </w:r>
      <w:r w:rsidRPr="00EB464F">
        <w:rPr>
          <w:rFonts w:ascii="Times New Roman" w:eastAsia="Calibri" w:hAnsi="Times New Roman" w:cs="Times New Roman"/>
          <w:bCs/>
          <w:sz w:val="28"/>
          <w:szCs w:val="28"/>
          <w:lang w:val="uk-UA"/>
        </w:rPr>
        <w:t xml:space="preserve">вступного випробування </w:t>
      </w:r>
      <w:r w:rsidRPr="00EB464F">
        <w:rPr>
          <w:rFonts w:ascii="Times New Roman" w:eastAsia="Calibri" w:hAnsi="Times New Roman" w:cs="Times New Roman"/>
          <w:sz w:val="28"/>
          <w:szCs w:val="28"/>
          <w:lang w:val="uk-UA"/>
        </w:rPr>
        <w:t xml:space="preserve">до аспірантури охоплює весь обсяг теоретичних знань, умінь і практичних навичок, необхідних для наукової роботи, а також для подальшої самостійної роботи на базах кафедр під час </w:t>
      </w:r>
      <w:r w:rsidRPr="00EB464F">
        <w:rPr>
          <w:rFonts w:ascii="Times New Roman" w:eastAsia="Calibri" w:hAnsi="Times New Roman" w:cs="Times New Roman"/>
          <w:sz w:val="28"/>
          <w:szCs w:val="28"/>
          <w:lang w:val="uk-UA"/>
        </w:rPr>
        <w:lastRenderedPageBreak/>
        <w:t>навчання в аспірантурі. Вступники до аспірантури за спеціальністю повинні володіти базовими знаннями, обґрунтовано відповідати на запитання екзаменаційних білетів та орієнтуватися в рамках своєї спеціальності і володіти практичними навичками.</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У програмі надано перелік питань до вступного іспиту, список орієнтовних тем рефератів, список рекомендованої літератури (основної та додаткової).</w:t>
      </w:r>
    </w:p>
    <w:p w:rsidR="00EB464F" w:rsidRPr="00EB464F" w:rsidRDefault="00EB464F" w:rsidP="002A1ACF">
      <w:pPr>
        <w:spacing w:after="0" w:line="240" w:lineRule="auto"/>
        <w:ind w:firstLine="709"/>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Практична підготовка здобувачів при плануванні вступу до аспірантури досягається шляхом систематичної та активної участі за основним їх місцем роботи. Крім того, бажаним є досвід здобувача у проведенні наукових досліджень, клінічних випробувань, експериментальних та інноваційних розробок, участь у науково-практичних конференціях, семінарах, з’їздах України, наявність друкованих робіт (статей або тез).</w:t>
      </w:r>
    </w:p>
    <w:p w:rsidR="00EB464F" w:rsidRPr="00EB464F" w:rsidRDefault="00EB464F" w:rsidP="002A1ACF">
      <w:pPr>
        <w:spacing w:after="0" w:line="240" w:lineRule="auto"/>
        <w:ind w:firstLine="709"/>
        <w:contextualSpacing/>
        <w:jc w:val="both"/>
        <w:rPr>
          <w:rFonts w:ascii="Times New Roman" w:eastAsia="Calibri" w:hAnsi="Times New Roman" w:cs="Times New Roman"/>
          <w:color w:val="000000"/>
          <w:spacing w:val="1"/>
          <w:sz w:val="28"/>
          <w:szCs w:val="28"/>
          <w:lang w:val="uk-UA" w:eastAsia="ru-RU"/>
        </w:rPr>
      </w:pPr>
      <w:r w:rsidRPr="00EB464F">
        <w:rPr>
          <w:rFonts w:ascii="Times New Roman" w:eastAsia="Calibri" w:hAnsi="Times New Roman" w:cs="Times New Roman"/>
          <w:sz w:val="28"/>
          <w:szCs w:val="28"/>
          <w:lang w:val="uk-UA"/>
        </w:rPr>
        <w:t>Для визначення рівня знань і практичних навичок п</w:t>
      </w:r>
      <w:r w:rsidRPr="00EB464F">
        <w:rPr>
          <w:rFonts w:ascii="Times New Roman" w:eastAsia="Calibri" w:hAnsi="Times New Roman" w:cs="Times New Roman"/>
          <w:color w:val="000000"/>
          <w:spacing w:val="1"/>
          <w:sz w:val="28"/>
          <w:szCs w:val="28"/>
          <w:lang w:val="uk-UA" w:eastAsia="ru-RU"/>
        </w:rPr>
        <w:t>рограмою передбачено проведення вступного іспиту у формі співбесіди</w:t>
      </w:r>
      <w:r>
        <w:rPr>
          <w:rFonts w:ascii="Times New Roman" w:eastAsia="Calibri" w:hAnsi="Times New Roman" w:cs="Times New Roman"/>
          <w:color w:val="000000"/>
          <w:spacing w:val="1"/>
          <w:sz w:val="28"/>
          <w:szCs w:val="28"/>
          <w:lang w:val="uk-UA" w:eastAsia="ru-RU"/>
        </w:rPr>
        <w:t>.</w:t>
      </w:r>
    </w:p>
    <w:p w:rsidR="00EB464F" w:rsidRPr="00EB464F" w:rsidRDefault="00EB464F" w:rsidP="002A1ACF">
      <w:pPr>
        <w:spacing w:after="0" w:line="240" w:lineRule="auto"/>
        <w:ind w:firstLine="709"/>
        <w:contextualSpacing/>
        <w:jc w:val="both"/>
        <w:rPr>
          <w:rFonts w:ascii="Times New Roman" w:eastAsia="Calibri" w:hAnsi="Times New Roman" w:cs="Times New Roman"/>
          <w:color w:val="000000"/>
          <w:spacing w:val="1"/>
          <w:sz w:val="28"/>
          <w:szCs w:val="28"/>
          <w:lang w:val="uk-UA" w:eastAsia="ru-RU"/>
        </w:rPr>
      </w:pPr>
      <w:r w:rsidRPr="00EB464F">
        <w:rPr>
          <w:rFonts w:ascii="Times New Roman" w:eastAsia="Calibri" w:hAnsi="Times New Roman" w:cs="Times New Roman"/>
          <w:color w:val="000000"/>
          <w:spacing w:val="1"/>
          <w:sz w:val="28"/>
          <w:szCs w:val="28"/>
          <w:lang w:val="uk-UA" w:eastAsia="ru-RU"/>
        </w:rPr>
        <w:t>Вступне випробування зі спеціальності проводиться в усній формі. На співбесіді вступник повинен продемонструвати знання з основних дисциплін за спеціальністю.</w:t>
      </w:r>
      <w:r w:rsidRPr="00EB464F">
        <w:rPr>
          <w:rFonts w:ascii="Times New Roman" w:eastAsia="Calibri" w:hAnsi="Times New Roman" w:cs="Times New Roman"/>
          <w:b/>
          <w:sz w:val="28"/>
          <w:szCs w:val="28"/>
          <w:lang w:val="uk-UA"/>
        </w:rPr>
        <w:t xml:space="preserve"> </w:t>
      </w:r>
      <w:r w:rsidRPr="00EB464F">
        <w:rPr>
          <w:rFonts w:ascii="Times New Roman" w:eastAsia="Calibri" w:hAnsi="Times New Roman" w:cs="Times New Roman"/>
          <w:color w:val="000000"/>
          <w:spacing w:val="1"/>
          <w:sz w:val="28"/>
          <w:szCs w:val="28"/>
          <w:lang w:val="uk-UA" w:eastAsia="ru-RU"/>
        </w:rPr>
        <w:t>Вступник в аспірантуру повинен:</w:t>
      </w:r>
    </w:p>
    <w:p w:rsidR="00EB464F" w:rsidRPr="00EB464F" w:rsidRDefault="00EB464F" w:rsidP="002A1ACF">
      <w:pPr>
        <w:widowControl w:val="0"/>
        <w:numPr>
          <w:ilvl w:val="0"/>
          <w:numId w:val="4"/>
        </w:numPr>
        <w:tabs>
          <w:tab w:val="left" w:pos="1578"/>
        </w:tabs>
        <w:autoSpaceDE w:val="0"/>
        <w:autoSpaceDN w:val="0"/>
        <w:spacing w:after="0" w:line="240" w:lineRule="auto"/>
        <w:ind w:right="-2"/>
        <w:contextualSpacing/>
        <w:jc w:val="both"/>
        <w:rPr>
          <w:rFonts w:ascii="Times New Roman" w:eastAsia="Calibri" w:hAnsi="Times New Roman" w:cs="Times New Roman"/>
          <w:sz w:val="28"/>
          <w:szCs w:val="28"/>
          <w:lang w:val="uk-UA"/>
        </w:rPr>
      </w:pPr>
      <w:r w:rsidRPr="00EB464F">
        <w:rPr>
          <w:rFonts w:ascii="Times New Roman" w:eastAsia="Calibri" w:hAnsi="Times New Roman" w:cs="Times New Roman"/>
          <w:sz w:val="28"/>
          <w:szCs w:val="28"/>
          <w:lang w:val="uk-UA"/>
        </w:rPr>
        <w:t>проявляти здатність до формування навиків самостійної науково-дослідницької та педагогічної діяльності, поглибленого вивчення теоретичних і методологічних основ, удосконалення філософської освіти, орієнтованої на професійну діяльність, удосконалення знань іноземної мови, в тому разі й для застосування в професійній</w:t>
      </w:r>
      <w:r w:rsidRPr="00EB464F">
        <w:rPr>
          <w:rFonts w:ascii="Times New Roman" w:eastAsia="Calibri" w:hAnsi="Times New Roman" w:cs="Times New Roman"/>
          <w:spacing w:val="-2"/>
          <w:sz w:val="28"/>
          <w:szCs w:val="28"/>
          <w:lang w:val="uk-UA"/>
        </w:rPr>
        <w:t xml:space="preserve"> </w:t>
      </w:r>
      <w:r w:rsidRPr="00EB464F">
        <w:rPr>
          <w:rFonts w:ascii="Times New Roman" w:eastAsia="Calibri" w:hAnsi="Times New Roman" w:cs="Times New Roman"/>
          <w:sz w:val="28"/>
          <w:szCs w:val="28"/>
          <w:lang w:val="uk-UA"/>
        </w:rPr>
        <w:t>діяльності.</w:t>
      </w:r>
    </w:p>
    <w:p w:rsidR="00EB464F" w:rsidRPr="00EB464F" w:rsidRDefault="00EB464F" w:rsidP="002A1ACF">
      <w:pPr>
        <w:widowControl w:val="0"/>
        <w:numPr>
          <w:ilvl w:val="0"/>
          <w:numId w:val="4"/>
        </w:numPr>
        <w:tabs>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rPr>
        <w:t>проявл</w:t>
      </w:r>
      <w:r w:rsidRPr="00EB464F">
        <w:rPr>
          <w:rFonts w:ascii="Times New Roman" w:eastAsia="Calibri" w:hAnsi="Times New Roman" w:cs="Times New Roman"/>
          <w:sz w:val="28"/>
          <w:szCs w:val="28"/>
          <w:lang w:val="uk-UA"/>
        </w:rPr>
        <w:t>яти</w:t>
      </w:r>
      <w:r w:rsidRPr="00EB464F">
        <w:rPr>
          <w:rFonts w:ascii="Times New Roman" w:eastAsia="Calibri" w:hAnsi="Times New Roman" w:cs="Times New Roman"/>
          <w:sz w:val="28"/>
          <w:szCs w:val="28"/>
        </w:rPr>
        <w:t xml:space="preserve"> здатності до вдосконалення та розвитку власного інтелектуального та загальнокультурного</w:t>
      </w:r>
      <w:r w:rsidRPr="00EB464F">
        <w:rPr>
          <w:rFonts w:ascii="Times New Roman" w:eastAsia="Calibri" w:hAnsi="Times New Roman" w:cs="Times New Roman"/>
          <w:spacing w:val="-1"/>
          <w:sz w:val="28"/>
          <w:szCs w:val="28"/>
        </w:rPr>
        <w:t xml:space="preserve"> </w:t>
      </w:r>
      <w:r w:rsidRPr="00EB464F">
        <w:rPr>
          <w:rFonts w:ascii="Times New Roman" w:eastAsia="Calibri" w:hAnsi="Times New Roman" w:cs="Times New Roman"/>
          <w:sz w:val="28"/>
          <w:szCs w:val="28"/>
        </w:rPr>
        <w:t>рівня;</w:t>
      </w:r>
    </w:p>
    <w:p w:rsidR="00EB464F" w:rsidRPr="00EB464F" w:rsidRDefault="00EB464F" w:rsidP="002A1ACF">
      <w:pPr>
        <w:widowControl w:val="0"/>
        <w:numPr>
          <w:ilvl w:val="0"/>
          <w:numId w:val="4"/>
        </w:numPr>
        <w:tabs>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rPr>
        <w:t>бути ознайомленим з діючими законодавчими актами України про вищу освіту і концепцією адаптації української вищої школи до Загальноєвропейського простору вищої освіти;</w:t>
      </w:r>
    </w:p>
    <w:p w:rsidR="00EB464F" w:rsidRPr="00EB464F" w:rsidRDefault="00EB464F" w:rsidP="002A1ACF">
      <w:pPr>
        <w:widowControl w:val="0"/>
        <w:numPr>
          <w:ilvl w:val="0"/>
          <w:numId w:val="4"/>
        </w:numPr>
        <w:tabs>
          <w:tab w:val="left" w:pos="1164"/>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rPr>
        <w:t>вмі</w:t>
      </w:r>
      <w:r w:rsidRPr="00EB464F">
        <w:rPr>
          <w:rFonts w:ascii="Times New Roman" w:eastAsia="Calibri" w:hAnsi="Times New Roman" w:cs="Times New Roman"/>
          <w:sz w:val="28"/>
          <w:szCs w:val="28"/>
          <w:lang w:val="uk-UA"/>
        </w:rPr>
        <w:t>ти</w:t>
      </w:r>
      <w:r w:rsidRPr="00EB464F">
        <w:rPr>
          <w:rFonts w:ascii="Times New Roman" w:eastAsia="Calibri" w:hAnsi="Times New Roman" w:cs="Times New Roman"/>
          <w:sz w:val="28"/>
          <w:szCs w:val="28"/>
        </w:rPr>
        <w:t xml:space="preserve"> формувати науковий світогляд та методологію педагогічної діяльності та професійної компетентності;</w:t>
      </w:r>
    </w:p>
    <w:p w:rsidR="00EB464F" w:rsidRPr="00EB464F" w:rsidRDefault="00EB464F" w:rsidP="002A1ACF">
      <w:pPr>
        <w:widowControl w:val="0"/>
        <w:numPr>
          <w:ilvl w:val="0"/>
          <w:numId w:val="4"/>
        </w:numPr>
        <w:tabs>
          <w:tab w:val="left" w:pos="1164"/>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lang w:val="uk-UA"/>
        </w:rPr>
        <w:t xml:space="preserve">бути здатним до </w:t>
      </w:r>
      <w:r w:rsidRPr="00EB464F">
        <w:rPr>
          <w:rFonts w:ascii="Times New Roman" w:eastAsia="Calibri" w:hAnsi="Times New Roman" w:cs="Times New Roman"/>
          <w:sz w:val="28"/>
          <w:szCs w:val="28"/>
        </w:rPr>
        <w:t>оволодіння основними формами, методами та</w:t>
      </w:r>
      <w:r w:rsidRPr="00EB464F">
        <w:rPr>
          <w:rFonts w:ascii="Times New Roman" w:eastAsia="Calibri" w:hAnsi="Times New Roman" w:cs="Times New Roman"/>
          <w:sz w:val="28"/>
          <w:szCs w:val="28"/>
          <w:lang w:val="uk-UA"/>
        </w:rPr>
        <w:t> </w:t>
      </w:r>
      <w:r w:rsidRPr="00EB464F">
        <w:rPr>
          <w:rFonts w:ascii="Times New Roman" w:eastAsia="Calibri" w:hAnsi="Times New Roman" w:cs="Times New Roman"/>
          <w:sz w:val="28"/>
          <w:szCs w:val="28"/>
        </w:rPr>
        <w:t>прийомами навчального процесу,</w:t>
      </w:r>
      <w:r w:rsidRPr="00EB464F">
        <w:rPr>
          <w:rFonts w:ascii="Times New Roman" w:eastAsia="Calibri" w:hAnsi="Times New Roman" w:cs="Times New Roman"/>
          <w:sz w:val="28"/>
          <w:szCs w:val="28"/>
          <w:lang w:val="uk-UA"/>
        </w:rPr>
        <w:t xml:space="preserve"> </w:t>
      </w:r>
      <w:r w:rsidRPr="00EB464F">
        <w:rPr>
          <w:rFonts w:ascii="Times New Roman" w:eastAsia="Calibri" w:hAnsi="Times New Roman" w:cs="Times New Roman"/>
          <w:spacing w:val="-9"/>
          <w:sz w:val="28"/>
          <w:szCs w:val="28"/>
        </w:rPr>
        <w:t xml:space="preserve">їх </w:t>
      </w:r>
      <w:r w:rsidRPr="00EB464F">
        <w:rPr>
          <w:rFonts w:ascii="Times New Roman" w:eastAsia="Calibri" w:hAnsi="Times New Roman" w:cs="Times New Roman"/>
          <w:sz w:val="28"/>
          <w:szCs w:val="28"/>
        </w:rPr>
        <w:t>оптимальне</w:t>
      </w:r>
      <w:r w:rsidRPr="00EB464F">
        <w:rPr>
          <w:rFonts w:ascii="Times New Roman" w:eastAsia="Calibri" w:hAnsi="Times New Roman" w:cs="Times New Roman"/>
          <w:spacing w:val="-2"/>
          <w:sz w:val="28"/>
          <w:szCs w:val="28"/>
        </w:rPr>
        <w:t xml:space="preserve"> </w:t>
      </w:r>
      <w:r w:rsidRPr="00EB464F">
        <w:rPr>
          <w:rFonts w:ascii="Times New Roman" w:eastAsia="Calibri" w:hAnsi="Times New Roman" w:cs="Times New Roman"/>
          <w:sz w:val="28"/>
          <w:szCs w:val="28"/>
        </w:rPr>
        <w:t>застосування;</w:t>
      </w:r>
    </w:p>
    <w:p w:rsidR="00EB464F" w:rsidRPr="00EB464F" w:rsidRDefault="00EB464F" w:rsidP="002A1ACF">
      <w:pPr>
        <w:widowControl w:val="0"/>
        <w:numPr>
          <w:ilvl w:val="0"/>
          <w:numId w:val="4"/>
        </w:numPr>
        <w:tabs>
          <w:tab w:val="left" w:pos="1164"/>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lang w:val="uk-UA"/>
        </w:rPr>
        <w:t xml:space="preserve">проявляти здатність до </w:t>
      </w:r>
      <w:r w:rsidRPr="00EB464F">
        <w:rPr>
          <w:rFonts w:ascii="Times New Roman" w:eastAsia="Calibri" w:hAnsi="Times New Roman" w:cs="Times New Roman"/>
          <w:sz w:val="28"/>
          <w:szCs w:val="28"/>
        </w:rPr>
        <w:t>засвоєння специфіки викладацької діяльності у</w:t>
      </w:r>
      <w:r w:rsidRPr="00EB464F">
        <w:rPr>
          <w:rFonts w:ascii="Times New Roman" w:eastAsia="Calibri" w:hAnsi="Times New Roman" w:cs="Times New Roman"/>
          <w:sz w:val="28"/>
          <w:szCs w:val="28"/>
          <w:lang w:val="uk-UA"/>
        </w:rPr>
        <w:t> </w:t>
      </w:r>
      <w:r w:rsidRPr="00EB464F">
        <w:rPr>
          <w:rFonts w:ascii="Times New Roman" w:eastAsia="Calibri" w:hAnsi="Times New Roman" w:cs="Times New Roman"/>
          <w:sz w:val="28"/>
          <w:szCs w:val="28"/>
        </w:rPr>
        <w:t>вищій</w:t>
      </w:r>
      <w:r w:rsidRPr="00EB464F">
        <w:rPr>
          <w:rFonts w:ascii="Times New Roman" w:eastAsia="Calibri" w:hAnsi="Times New Roman" w:cs="Times New Roman"/>
          <w:spacing w:val="-4"/>
          <w:sz w:val="28"/>
          <w:szCs w:val="28"/>
        </w:rPr>
        <w:t xml:space="preserve"> </w:t>
      </w:r>
      <w:r w:rsidRPr="00EB464F">
        <w:rPr>
          <w:rFonts w:ascii="Times New Roman" w:eastAsia="Calibri" w:hAnsi="Times New Roman" w:cs="Times New Roman"/>
          <w:sz w:val="28"/>
          <w:szCs w:val="28"/>
        </w:rPr>
        <w:t>школі;</w:t>
      </w:r>
    </w:p>
    <w:p w:rsidR="00EB464F" w:rsidRPr="00EB464F" w:rsidRDefault="00EB464F" w:rsidP="002A1ACF">
      <w:pPr>
        <w:widowControl w:val="0"/>
        <w:numPr>
          <w:ilvl w:val="0"/>
          <w:numId w:val="4"/>
        </w:numPr>
        <w:tabs>
          <w:tab w:val="left" w:pos="1164"/>
          <w:tab w:val="left" w:pos="1165"/>
        </w:tabs>
        <w:autoSpaceDE w:val="0"/>
        <w:autoSpaceDN w:val="0"/>
        <w:spacing w:after="0" w:line="240" w:lineRule="auto"/>
        <w:ind w:right="-2"/>
        <w:contextualSpacing/>
        <w:jc w:val="both"/>
        <w:rPr>
          <w:rFonts w:ascii="Times New Roman" w:eastAsia="Calibri" w:hAnsi="Times New Roman" w:cs="Times New Roman"/>
          <w:sz w:val="28"/>
          <w:szCs w:val="28"/>
        </w:rPr>
      </w:pPr>
      <w:r w:rsidRPr="00EB464F">
        <w:rPr>
          <w:rFonts w:ascii="Times New Roman" w:eastAsia="Calibri" w:hAnsi="Times New Roman" w:cs="Times New Roman"/>
          <w:sz w:val="28"/>
          <w:szCs w:val="28"/>
          <w:lang w:val="uk-UA"/>
        </w:rPr>
        <w:t xml:space="preserve">мати схильність до </w:t>
      </w:r>
      <w:r w:rsidRPr="00EB464F">
        <w:rPr>
          <w:rFonts w:ascii="Times New Roman" w:eastAsia="Calibri" w:hAnsi="Times New Roman" w:cs="Times New Roman"/>
          <w:sz w:val="28"/>
          <w:szCs w:val="28"/>
        </w:rPr>
        <w:t>виховання загальної і професійної культури майбутнього викладача вищого навчального закладу.</w:t>
      </w:r>
    </w:p>
    <w:p w:rsidR="00EB464F" w:rsidRPr="00EB464F" w:rsidRDefault="00EB464F" w:rsidP="002A1ACF">
      <w:pPr>
        <w:spacing w:after="0" w:line="240" w:lineRule="auto"/>
        <w:ind w:firstLine="709"/>
        <w:contextualSpacing/>
        <w:jc w:val="both"/>
        <w:rPr>
          <w:rFonts w:ascii="Times New Roman" w:eastAsia="Calibri" w:hAnsi="Times New Roman" w:cs="Times New Roman"/>
          <w:color w:val="000000"/>
          <w:spacing w:val="1"/>
          <w:sz w:val="28"/>
          <w:szCs w:val="28"/>
          <w:lang w:eastAsia="ru-RU"/>
        </w:rPr>
      </w:pPr>
      <w:r w:rsidRPr="00EB464F">
        <w:rPr>
          <w:rFonts w:ascii="Times New Roman" w:eastAsia="Calibri" w:hAnsi="Times New Roman" w:cs="Times New Roman"/>
          <w:color w:val="000000"/>
          <w:spacing w:val="1"/>
          <w:sz w:val="28"/>
          <w:szCs w:val="28"/>
          <w:lang w:eastAsia="ru-RU"/>
        </w:rPr>
        <w:t xml:space="preserve">Оцінка результатів вступних випробувань здійснюється за </w:t>
      </w:r>
      <w:r w:rsidRPr="00EB464F">
        <w:rPr>
          <w:rFonts w:ascii="Times New Roman" w:eastAsia="Calibri" w:hAnsi="Times New Roman" w:cs="Times New Roman"/>
          <w:color w:val="000000"/>
          <w:spacing w:val="1"/>
          <w:sz w:val="28"/>
          <w:szCs w:val="28"/>
          <w:lang w:val="uk-UA" w:eastAsia="ru-RU"/>
        </w:rPr>
        <w:t xml:space="preserve">100-бальною </w:t>
      </w:r>
      <w:r w:rsidRPr="00EB464F">
        <w:rPr>
          <w:rFonts w:ascii="Times New Roman" w:eastAsia="Calibri" w:hAnsi="Times New Roman" w:cs="Times New Roman"/>
          <w:color w:val="000000"/>
          <w:spacing w:val="1"/>
          <w:sz w:val="28"/>
          <w:szCs w:val="28"/>
          <w:lang w:eastAsia="ru-RU"/>
        </w:rPr>
        <w:t>шкалою від 100 до 200 балів.</w:t>
      </w:r>
    </w:p>
    <w:p w:rsidR="0086793E" w:rsidRDefault="0086793E" w:rsidP="002A1ACF">
      <w:pPr>
        <w:spacing w:after="0" w:line="240" w:lineRule="auto"/>
        <w:contextualSpacing/>
        <w:jc w:val="center"/>
        <w:rPr>
          <w:rFonts w:ascii="Times New Roman" w:hAnsi="Times New Roman" w:cs="Times New Roman"/>
          <w:b/>
          <w:sz w:val="28"/>
          <w:szCs w:val="28"/>
        </w:rPr>
        <w:sectPr w:rsidR="0086793E" w:rsidSect="00933C1F">
          <w:headerReference w:type="default" r:id="rId11"/>
          <w:pgSz w:w="11906" w:h="16838"/>
          <w:pgMar w:top="1134" w:right="567" w:bottom="1134" w:left="1701" w:header="709" w:footer="709" w:gutter="0"/>
          <w:cols w:space="708"/>
          <w:docGrid w:linePitch="360"/>
        </w:sectPr>
      </w:pPr>
    </w:p>
    <w:p w:rsidR="0086793E" w:rsidRPr="00E052C1" w:rsidRDefault="0086793E" w:rsidP="002A1ACF">
      <w:pPr>
        <w:pStyle w:val="1"/>
        <w:spacing w:before="0" w:line="240" w:lineRule="auto"/>
        <w:contextualSpacing/>
        <w:jc w:val="center"/>
        <w:rPr>
          <w:rFonts w:ascii="Times New Roman" w:eastAsia="Times New Roman" w:hAnsi="Times New Roman" w:cs="Times New Roman"/>
          <w:lang w:val="uk-UA"/>
        </w:rPr>
      </w:pPr>
      <w:bookmarkStart w:id="4" w:name="_Toc69645701"/>
      <w:bookmarkStart w:id="5" w:name="_Toc69652398"/>
      <w:r w:rsidRPr="00E052C1">
        <w:rPr>
          <w:rFonts w:ascii="Times New Roman" w:eastAsia="Times New Roman" w:hAnsi="Times New Roman" w:cs="Times New Roman"/>
          <w:lang w:val="uk-UA"/>
        </w:rPr>
        <w:lastRenderedPageBreak/>
        <w:t>КРИТЕРІЇ ТА ПОРЯДОК ОЦІНЮВАННЯ, СТРУКТУРА ОЦІНКИ</w:t>
      </w:r>
      <w:bookmarkEnd w:id="4"/>
      <w:bookmarkEnd w:id="5"/>
    </w:p>
    <w:p w:rsidR="0086793E" w:rsidRPr="0086793E" w:rsidRDefault="0086793E" w:rsidP="002A1ACF">
      <w:pPr>
        <w:spacing w:after="0" w:line="240" w:lineRule="auto"/>
        <w:contextualSpacing/>
        <w:jc w:val="center"/>
        <w:rPr>
          <w:rFonts w:ascii="Times New Roman" w:eastAsia="Calibri" w:hAnsi="Times New Roman" w:cs="Times New Roman"/>
          <w:b/>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Вступне випробування проводиться в усній формі (співбесіда), результат заноситься у протокол, відомість співбесіди і в екзаменаційний аркуш.</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Вступник повинен дати відповідь на запитання відповідно до програми вступного випробування (співбесіди) з питань блоків дисциплін за спеціальністю, правильно сформулювати відповіді на задані запитання, грунтовно дати пояснення щодо основних засад спеціальності.</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Оцінка результатів вступних випробувань здійснюється за 100-бальною шкалою від 100 до 200 балів.</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 xml:space="preserve">Кожен екзаменаційний білет містить 3 (три) питання. Одна правильна відповідь на питання екзаменаційного білету оцінюється до 30 балів. </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Максимальна кількість в 10 балів передбачається за виконання наукової доповіді (реферату) з обраної наукової спеціальності.</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
          <w:bCs/>
          <w:sz w:val="28"/>
          <w:szCs w:val="28"/>
          <w:lang w:val="uk-UA"/>
        </w:rPr>
      </w:pPr>
      <w:r w:rsidRPr="0086793E">
        <w:rPr>
          <w:rFonts w:ascii="Times New Roman" w:eastAsia="Calibri" w:hAnsi="Times New Roman" w:cs="Times New Roman"/>
          <w:b/>
          <w:bCs/>
          <w:sz w:val="28"/>
          <w:szCs w:val="28"/>
          <w:lang w:val="uk-UA"/>
        </w:rPr>
        <w:t>Вага оцінки вступного випробування зі спеціальності (в балах)</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12"/>
          <w:szCs w:val="12"/>
          <w:lang w:val="uk-UA"/>
        </w:rPr>
      </w:pPr>
    </w:p>
    <w:tbl>
      <w:tblPr>
        <w:tblStyle w:val="2"/>
        <w:tblW w:w="0" w:type="auto"/>
        <w:tblLook w:val="04A0" w:firstRow="1" w:lastRow="0" w:firstColumn="1" w:lastColumn="0" w:noHBand="0" w:noVBand="1"/>
      </w:tblPr>
      <w:tblGrid>
        <w:gridCol w:w="6629"/>
        <w:gridCol w:w="3079"/>
      </w:tblGrid>
      <w:tr w:rsidR="0086793E" w:rsidRPr="0086793E" w:rsidTr="00122124">
        <w:trPr>
          <w:trHeight w:val="304"/>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Компонент вступного випробування</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Максимальна кількість балів</w:t>
            </w:r>
          </w:p>
        </w:tc>
      </w:tr>
      <w:tr w:rsidR="0086793E" w:rsidRPr="0086793E" w:rsidTr="00122124">
        <w:trPr>
          <w:trHeight w:val="328"/>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Відповідь на перше питання екзаменаційного білету</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30</w:t>
            </w:r>
          </w:p>
        </w:tc>
      </w:tr>
      <w:tr w:rsidR="0086793E" w:rsidRPr="0086793E" w:rsidTr="00122124">
        <w:trPr>
          <w:trHeight w:val="321"/>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Відповідь на друге питання екзаменаційного білету</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30</w:t>
            </w:r>
          </w:p>
        </w:tc>
      </w:tr>
      <w:tr w:rsidR="0086793E" w:rsidRPr="0086793E" w:rsidTr="00122124">
        <w:trPr>
          <w:trHeight w:val="304"/>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Відповідь на третє питання екзаменаційного білету</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30</w:t>
            </w:r>
          </w:p>
        </w:tc>
      </w:tr>
      <w:tr w:rsidR="0086793E" w:rsidRPr="0086793E" w:rsidTr="00122124">
        <w:trPr>
          <w:trHeight w:val="304"/>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Виконання наукової доповіді (реферату) з обраної наукової спеціальності</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10</w:t>
            </w:r>
          </w:p>
        </w:tc>
      </w:tr>
      <w:tr w:rsidR="0086793E" w:rsidRPr="0086793E" w:rsidTr="00122124">
        <w:trPr>
          <w:trHeight w:val="304"/>
        </w:trPr>
        <w:tc>
          <w:tcPr>
            <w:tcW w:w="6629" w:type="dxa"/>
          </w:tcPr>
          <w:p w:rsidR="0086793E" w:rsidRPr="0086793E" w:rsidRDefault="0086793E" w:rsidP="002A1ACF">
            <w:pPr>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Загальна максимальна кількість балів за вступне випробування зі спеціальності</w:t>
            </w:r>
          </w:p>
        </w:tc>
        <w:tc>
          <w:tcPr>
            <w:tcW w:w="3079"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100</w:t>
            </w:r>
          </w:p>
        </w:tc>
      </w:tr>
    </w:tbl>
    <w:p w:rsidR="0086793E" w:rsidRPr="0086793E" w:rsidRDefault="0086793E" w:rsidP="002A1ACF">
      <w:pPr>
        <w:spacing w:after="0" w:line="240" w:lineRule="auto"/>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Для конкурсного відбору осіб, які вступають на навчання для здобуття ступеня доктора філософії, конкурсний бал обчислюється як сума балів за вступні іспити шляхом множення конкурсного бала на вагові коефіцієнти відповідно до Правил прийому на навчання для здобуття вищої освіти у НУОЗ України імені П. Л. Шупика.</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
          <w:bCs/>
          <w:sz w:val="28"/>
          <w:szCs w:val="28"/>
          <w:lang w:val="uk-UA"/>
        </w:rPr>
      </w:pPr>
    </w:p>
    <w:p w:rsidR="00AF4211" w:rsidRDefault="00AF4211" w:rsidP="002A1ACF">
      <w:pPr>
        <w:spacing w:after="0" w:line="240" w:lineRule="auto"/>
        <w:contextualSpacing/>
        <w:jc w:val="center"/>
        <w:rPr>
          <w:rFonts w:ascii="Times New Roman" w:eastAsia="Calibri" w:hAnsi="Times New Roman" w:cs="Times New Roman"/>
          <w:b/>
          <w:bCs/>
          <w:sz w:val="28"/>
          <w:szCs w:val="28"/>
          <w:lang w:val="uk-UA"/>
        </w:rPr>
        <w:sectPr w:rsidR="00AF4211" w:rsidSect="00933C1F">
          <w:pgSz w:w="11906" w:h="16838"/>
          <w:pgMar w:top="1134" w:right="567" w:bottom="1134" w:left="1701" w:header="709" w:footer="709" w:gutter="0"/>
          <w:cols w:space="708"/>
          <w:docGrid w:linePitch="360"/>
        </w:sectPr>
      </w:pPr>
    </w:p>
    <w:p w:rsidR="0086793E" w:rsidRPr="0086793E" w:rsidRDefault="0086793E" w:rsidP="002A1ACF">
      <w:pPr>
        <w:spacing w:after="0" w:line="240" w:lineRule="auto"/>
        <w:contextualSpacing/>
        <w:jc w:val="center"/>
        <w:rPr>
          <w:rFonts w:ascii="Times New Roman" w:eastAsia="Calibri" w:hAnsi="Times New Roman" w:cs="Times New Roman"/>
          <w:b/>
          <w:bCs/>
          <w:sz w:val="28"/>
          <w:szCs w:val="28"/>
          <w:lang w:val="uk-UA"/>
        </w:rPr>
      </w:pPr>
      <w:r w:rsidRPr="0086793E">
        <w:rPr>
          <w:rFonts w:ascii="Times New Roman" w:eastAsia="Calibri" w:hAnsi="Times New Roman" w:cs="Times New Roman"/>
          <w:b/>
          <w:bCs/>
          <w:sz w:val="28"/>
          <w:szCs w:val="28"/>
          <w:lang w:val="uk-UA"/>
        </w:rPr>
        <w:lastRenderedPageBreak/>
        <w:t>КРИТЕРІЇ ОЦІНЮВАННЯ СПІВБЕСІДИ</w:t>
      </w:r>
    </w:p>
    <w:p w:rsidR="0086793E" w:rsidRPr="0086793E" w:rsidRDefault="0086793E" w:rsidP="002A1ACF">
      <w:pPr>
        <w:spacing w:after="0" w:line="240" w:lineRule="auto"/>
        <w:contextualSpacing/>
        <w:jc w:val="center"/>
        <w:rPr>
          <w:rFonts w:ascii="Times New Roman" w:eastAsia="Calibri" w:hAnsi="Times New Roman" w:cs="Times New Roman"/>
          <w:b/>
          <w:bCs/>
          <w:sz w:val="28"/>
          <w:szCs w:val="28"/>
          <w:lang w:val="uk-UA"/>
        </w:rPr>
      </w:pPr>
    </w:p>
    <w:tbl>
      <w:tblPr>
        <w:tblStyle w:val="2"/>
        <w:tblW w:w="0" w:type="auto"/>
        <w:tblLook w:val="04A0" w:firstRow="1" w:lastRow="0" w:firstColumn="1" w:lastColumn="0" w:noHBand="0" w:noVBand="1"/>
      </w:tblPr>
      <w:tblGrid>
        <w:gridCol w:w="1097"/>
        <w:gridCol w:w="1025"/>
        <w:gridCol w:w="1025"/>
        <w:gridCol w:w="6707"/>
      </w:tblGrid>
      <w:tr w:rsidR="0086793E" w:rsidRPr="0086793E" w:rsidTr="00122124">
        <w:tc>
          <w:tcPr>
            <w:tcW w:w="109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200-бальна шкала</w:t>
            </w:r>
          </w:p>
        </w:tc>
        <w:tc>
          <w:tcPr>
            <w:tcW w:w="1025"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12-бальна шкала</w:t>
            </w:r>
          </w:p>
        </w:tc>
        <w:tc>
          <w:tcPr>
            <w:tcW w:w="1025"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5-бальна шкала</w:t>
            </w:r>
          </w:p>
        </w:tc>
        <w:tc>
          <w:tcPr>
            <w:tcW w:w="670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Вимоги до рівня знань</w:t>
            </w:r>
          </w:p>
        </w:tc>
      </w:tr>
      <w:tr w:rsidR="0086793E" w:rsidRPr="00142167" w:rsidTr="00122124">
        <w:tc>
          <w:tcPr>
            <w:tcW w:w="1097" w:type="dxa"/>
            <w:vMerge w:val="restart"/>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181-190</w:t>
            </w:r>
          </w:p>
        </w:tc>
        <w:tc>
          <w:tcPr>
            <w:tcW w:w="1025" w:type="dxa"/>
            <w:vMerge w:val="restart"/>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12</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5 +</w:t>
            </w:r>
          </w:p>
        </w:tc>
        <w:tc>
          <w:tcPr>
            <w:tcW w:w="6707" w:type="dxa"/>
            <w:vMerge w:val="restart"/>
          </w:tcPr>
          <w:p w:rsidR="0086793E" w:rsidRPr="0086793E" w:rsidRDefault="0086793E" w:rsidP="002A1ACF">
            <w:pPr>
              <w:contextualSpacing/>
              <w:jc w:val="both"/>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Вступник володіє глибокими й міцними знаннями, дає ґрунтовну відповідь на поставлене питання, висловлює власну позицію і переконливо її аргументує, самостійно оцінює джерела інформації, що стосуються питання, вміє узагальнити поданий матеріал: розкриті і точно вжиті основні поняття; сутність питань розкрито повно, розгорнуто, логічно; використані приклади, що ілюструють теоретичні положення; представлені різні точки зору на проблему; відповіді обгрунтовані та послідовні; повно і оперативно надано відповіді на додаткові запитання.</w:t>
            </w:r>
          </w:p>
        </w:tc>
      </w:tr>
      <w:tr w:rsidR="0086793E" w:rsidRPr="0086793E" w:rsidTr="00122124">
        <w:tc>
          <w:tcPr>
            <w:tcW w:w="109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c>
          <w:tcPr>
            <w:tcW w:w="1025" w:type="dxa"/>
            <w:vMerge/>
          </w:tcPr>
          <w:p w:rsidR="0086793E" w:rsidRPr="0086793E" w:rsidRDefault="0086793E" w:rsidP="002A1ACF">
            <w:pPr>
              <w:contextualSpacing/>
              <w:rPr>
                <w:rFonts w:ascii="Times New Roman" w:eastAsia="Calibri" w:hAnsi="Times New Roman" w:cs="Times New Roman"/>
                <w:b/>
                <w:bCs/>
                <w:sz w:val="28"/>
                <w:szCs w:val="28"/>
                <w:lang w:val="uk-UA"/>
              </w:rPr>
            </w:pP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5</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86793E" w:rsidTr="00122124">
        <w:trPr>
          <w:trHeight w:val="603"/>
        </w:trPr>
        <w:tc>
          <w:tcPr>
            <w:tcW w:w="1097" w:type="dxa"/>
            <w:vMerge w:val="restart"/>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171-180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11</w:t>
            </w:r>
          </w:p>
        </w:tc>
        <w:tc>
          <w:tcPr>
            <w:tcW w:w="1025" w:type="dxa"/>
            <w:vMerge w:val="restart"/>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5 -</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86793E" w:rsidTr="00122124">
        <w:trPr>
          <w:trHeight w:val="2670"/>
        </w:trPr>
        <w:tc>
          <w:tcPr>
            <w:tcW w:w="1097" w:type="dxa"/>
            <w:vMerge/>
          </w:tcPr>
          <w:p w:rsidR="0086793E" w:rsidRPr="0086793E" w:rsidRDefault="0086793E" w:rsidP="002A1ACF">
            <w:pPr>
              <w:contextualSpacing/>
              <w:rPr>
                <w:rFonts w:ascii="Times New Roman" w:eastAsia="Calibri" w:hAnsi="Times New Roman" w:cs="Times New Roman"/>
                <w:bCs/>
                <w:sz w:val="28"/>
                <w:szCs w:val="28"/>
                <w:lang w:val="uk-UA"/>
              </w:rPr>
            </w:pPr>
          </w:p>
        </w:tc>
        <w:tc>
          <w:tcPr>
            <w:tcW w:w="1025" w:type="dxa"/>
          </w:tcPr>
          <w:p w:rsidR="0086793E" w:rsidRPr="0086793E" w:rsidRDefault="0086793E" w:rsidP="002A1ACF">
            <w:pPr>
              <w:contextualSpacing/>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10</w:t>
            </w:r>
          </w:p>
        </w:tc>
        <w:tc>
          <w:tcPr>
            <w:tcW w:w="1025" w:type="dxa"/>
            <w:vMerge/>
          </w:tcPr>
          <w:p w:rsidR="0086793E" w:rsidRPr="0086793E" w:rsidRDefault="0086793E" w:rsidP="002A1ACF">
            <w:pPr>
              <w:contextualSpacing/>
              <w:rPr>
                <w:rFonts w:ascii="Times New Roman" w:eastAsia="Calibri" w:hAnsi="Times New Roman" w:cs="Times New Roman"/>
                <w:bCs/>
                <w:sz w:val="28"/>
                <w:szCs w:val="28"/>
                <w:lang w:val="uk-UA"/>
              </w:rPr>
            </w:pP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142167"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161-170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9</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4+</w:t>
            </w:r>
          </w:p>
        </w:tc>
        <w:tc>
          <w:tcPr>
            <w:tcW w:w="6707" w:type="dxa"/>
            <w:vMerge w:val="restart"/>
          </w:tcPr>
          <w:p w:rsidR="0086793E" w:rsidRPr="0086793E" w:rsidRDefault="0086793E" w:rsidP="002A1ACF">
            <w:pPr>
              <w:contextualSpacing/>
              <w:jc w:val="both"/>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Вступник вільно викладає зміст питання, поставленого екзаменатором, застосовуючи необхідну термінологію та нормативно-правову базу, робить аргументовані висновки: розкриті основнні поняття; сутність питань розкрита повно, логічно; використані приклади, що ілюструють теоретичні положення; представлені різні точки зору на проблему; відповіді обгрунтовані та послідовні; повно і оперативно надано відповіді на додаткові запитання.</w:t>
            </w:r>
          </w:p>
        </w:tc>
      </w:tr>
      <w:tr w:rsidR="0086793E" w:rsidRPr="0086793E" w:rsidTr="00122124">
        <w:trPr>
          <w:trHeight w:val="572"/>
        </w:trPr>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151-160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8</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4</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86793E"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141-150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7</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4-</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142167"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131-140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6</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3+</w:t>
            </w:r>
          </w:p>
        </w:tc>
        <w:tc>
          <w:tcPr>
            <w:tcW w:w="6707" w:type="dxa"/>
            <w:vMerge w:val="restart"/>
          </w:tcPr>
          <w:p w:rsidR="0086793E" w:rsidRPr="0086793E" w:rsidRDefault="0086793E" w:rsidP="002A1ACF">
            <w:pPr>
              <w:contextualSpacing/>
              <w:jc w:val="both"/>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Вступник частково володіє змістом питання і використовує знання за аналогією, може порівнювати, узагальнювати, систематизувати: інформацію: розкрита тільки менша частина основних понять; не точно використані основні категорії і поняття; не повно дані відповіді за змістом питань; не наведено приклади, які б ілюструваои теоретичні положення; діалог з екзаменатором не вийшов; виникли проблеми в обгрунтуванні висновків, аргументацій; немає відповіді на більшість додаткових питнь.</w:t>
            </w:r>
          </w:p>
        </w:tc>
      </w:tr>
      <w:tr w:rsidR="0086793E" w:rsidRPr="0086793E"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121-130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5</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3</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86793E"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115-120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4</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3-</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142167" w:rsidTr="00122124">
        <w:tc>
          <w:tcPr>
            <w:tcW w:w="1097"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111-114</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3</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2+</w:t>
            </w:r>
          </w:p>
        </w:tc>
        <w:tc>
          <w:tcPr>
            <w:tcW w:w="6707" w:type="dxa"/>
            <w:vMerge w:val="restart"/>
          </w:tcPr>
          <w:p w:rsidR="0086793E" w:rsidRPr="0086793E" w:rsidRDefault="0086793E" w:rsidP="002A1ACF">
            <w:pPr>
              <w:contextualSpacing/>
              <w:jc w:val="both"/>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Вступник може на рівні “так-ні” відтворити кілька термінів із обсягу питання, обрати правильний варіант відповіді з двох запропонованих: не розкрито жодне з основних понять; не дані основні визначення категорій і понять дисципліни; допущені суттєві неточності і помилки при викладі матеріалу.</w:t>
            </w:r>
          </w:p>
        </w:tc>
      </w:tr>
      <w:tr w:rsidR="0086793E" w:rsidRPr="0086793E" w:rsidTr="00122124">
        <w:tc>
          <w:tcPr>
            <w:tcW w:w="1097" w:type="dxa"/>
            <w:vMerge w:val="restart"/>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100-110</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2</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2</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r w:rsidR="0086793E" w:rsidRPr="0086793E" w:rsidTr="00122124">
        <w:tc>
          <w:tcPr>
            <w:tcW w:w="109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1</w:t>
            </w:r>
          </w:p>
        </w:tc>
        <w:tc>
          <w:tcPr>
            <w:tcW w:w="1025" w:type="dxa"/>
          </w:tcPr>
          <w:p w:rsidR="0086793E" w:rsidRPr="0086793E" w:rsidRDefault="0086793E" w:rsidP="002A1ACF">
            <w:pPr>
              <w:contextualSpacing/>
              <w:rPr>
                <w:rFonts w:ascii="Times New Roman" w:eastAsia="Calibri" w:hAnsi="Times New Roman" w:cs="Times New Roman"/>
                <w:b/>
                <w:bCs/>
                <w:sz w:val="28"/>
                <w:szCs w:val="28"/>
                <w:lang w:val="uk-UA"/>
              </w:rPr>
            </w:pPr>
            <w:r w:rsidRPr="0086793E">
              <w:rPr>
                <w:rFonts w:ascii="Times New Roman" w:eastAsia="Calibri" w:hAnsi="Times New Roman" w:cs="Times New Roman"/>
                <w:bCs/>
                <w:sz w:val="28"/>
                <w:szCs w:val="28"/>
                <w:lang w:val="uk-UA"/>
              </w:rPr>
              <w:t>2-</w:t>
            </w:r>
          </w:p>
        </w:tc>
        <w:tc>
          <w:tcPr>
            <w:tcW w:w="6707" w:type="dxa"/>
            <w:vMerge/>
          </w:tcPr>
          <w:p w:rsidR="0086793E" w:rsidRPr="0086793E" w:rsidRDefault="0086793E" w:rsidP="002A1ACF">
            <w:pPr>
              <w:contextualSpacing/>
              <w:rPr>
                <w:rFonts w:ascii="Times New Roman" w:eastAsia="Calibri" w:hAnsi="Times New Roman" w:cs="Times New Roman"/>
                <w:b/>
                <w:bCs/>
                <w:sz w:val="28"/>
                <w:szCs w:val="28"/>
                <w:lang w:val="uk-UA"/>
              </w:rPr>
            </w:pPr>
          </w:p>
        </w:tc>
      </w:tr>
    </w:tbl>
    <w:p w:rsidR="0086793E" w:rsidRPr="0086793E" w:rsidRDefault="0086793E" w:rsidP="002A1ACF">
      <w:pPr>
        <w:spacing w:after="0" w:line="240" w:lineRule="auto"/>
        <w:contextualSpacing/>
        <w:jc w:val="center"/>
        <w:rPr>
          <w:rFonts w:ascii="Times New Roman" w:eastAsia="Calibri" w:hAnsi="Times New Roman" w:cs="Times New Roman"/>
          <w:b/>
          <w:bCs/>
          <w:sz w:val="28"/>
          <w:szCs w:val="28"/>
          <w:lang w:val="uk-UA"/>
        </w:rPr>
      </w:pPr>
      <w:r w:rsidRPr="0086793E">
        <w:rPr>
          <w:rFonts w:ascii="Times New Roman" w:eastAsia="Calibri" w:hAnsi="Times New Roman" w:cs="Times New Roman"/>
          <w:sz w:val="28"/>
          <w:szCs w:val="28"/>
          <w:lang w:val="uk-UA"/>
        </w:rPr>
        <w:br w:type="column"/>
      </w:r>
      <w:r w:rsidRPr="0086793E">
        <w:rPr>
          <w:rFonts w:ascii="Times New Roman" w:eastAsia="Calibri" w:hAnsi="Times New Roman" w:cs="Times New Roman"/>
          <w:b/>
          <w:bCs/>
          <w:sz w:val="28"/>
          <w:szCs w:val="28"/>
          <w:lang w:val="uk-UA"/>
        </w:rPr>
        <w:lastRenderedPageBreak/>
        <w:t xml:space="preserve">КРИТЕРІЇ ОЦІНЮВАННЯ РЕФЕРАТУ </w:t>
      </w:r>
    </w:p>
    <w:p w:rsidR="0086793E" w:rsidRPr="0086793E" w:rsidRDefault="0086793E" w:rsidP="002A1ACF">
      <w:pPr>
        <w:spacing w:after="0" w:line="240" w:lineRule="auto"/>
        <w:contextualSpacing/>
        <w:rPr>
          <w:rFonts w:ascii="Times New Roman" w:eastAsia="Calibri" w:hAnsi="Times New Roman" w:cs="Times New Roman"/>
          <w:b/>
          <w:bCs/>
          <w:sz w:val="28"/>
          <w:szCs w:val="28"/>
          <w:lang w:val="uk-UA"/>
        </w:rPr>
      </w:pP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 xml:space="preserve">Реферат надається до Приймальної комісії НУОЗ України імені П. Л. Шупика вступником разом з необхідним переліком документів особисто, у визначені Правилами прийому терміни. Тематика і правила оформлення рефератів визначено Програмою вступного випробування. </w:t>
      </w:r>
    </w:p>
    <w:p w:rsidR="0086793E" w:rsidRPr="0086793E" w:rsidRDefault="0086793E" w:rsidP="002A1ACF">
      <w:pPr>
        <w:spacing w:after="0" w:line="240" w:lineRule="auto"/>
        <w:ind w:firstLine="709"/>
        <w:contextualSpacing/>
        <w:jc w:val="both"/>
        <w:rPr>
          <w:rFonts w:ascii="Times New Roman" w:eastAsia="Calibri" w:hAnsi="Times New Roman" w:cs="Times New Roman"/>
          <w:bCs/>
          <w:sz w:val="28"/>
          <w:szCs w:val="28"/>
          <w:lang w:val="uk-UA"/>
        </w:rPr>
      </w:pPr>
    </w:p>
    <w:tbl>
      <w:tblPr>
        <w:tblStyle w:val="2"/>
        <w:tblW w:w="0" w:type="auto"/>
        <w:tblLook w:val="04A0" w:firstRow="1" w:lastRow="0" w:firstColumn="1" w:lastColumn="0" w:noHBand="0" w:noVBand="1"/>
      </w:tblPr>
      <w:tblGrid>
        <w:gridCol w:w="1337"/>
        <w:gridCol w:w="8476"/>
      </w:tblGrid>
      <w:tr w:rsidR="0086793E" w:rsidRPr="0086793E" w:rsidTr="00122124">
        <w:tc>
          <w:tcPr>
            <w:tcW w:w="133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Кількість балів</w:t>
            </w:r>
          </w:p>
        </w:tc>
        <w:tc>
          <w:tcPr>
            <w:tcW w:w="8476"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Вимоги до рівня реферату</w:t>
            </w:r>
          </w:p>
        </w:tc>
      </w:tr>
      <w:tr w:rsidR="0086793E" w:rsidRPr="00142167" w:rsidTr="00122124">
        <w:trPr>
          <w:trHeight w:val="3220"/>
        </w:trPr>
        <w:tc>
          <w:tcPr>
            <w:tcW w:w="133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9-10</w:t>
            </w:r>
          </w:p>
        </w:tc>
        <w:tc>
          <w:tcPr>
            <w:tcW w:w="8476" w:type="dxa"/>
          </w:tcPr>
          <w:p w:rsidR="0086793E" w:rsidRPr="0086793E" w:rsidRDefault="0086793E" w:rsidP="002A1ACF">
            <w:pPr>
              <w:ind w:left="8"/>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викладений матеріал відповідає темі реферату; реферат оформленний відповідно вимог, грамотно, із застосуванням необхідного стилю викладу; реферат містить відомості про наукову новизну та практичну значимість досліджееь; план реферату системно розкриває обрану тему; глибина розкриття теми, ступінь вирішення поставлених завдань, завершеність дослідження відповідає сучасному рівню; особистий внесок оцінюється із наявності власних аналітичних висновків; відповіді обгрунтовані; ви рефераті використано рекомендовану літературу, а також наявна достатня кількість сучасних нормативних і наукових джерел.</w:t>
            </w:r>
          </w:p>
        </w:tc>
      </w:tr>
      <w:tr w:rsidR="0086793E" w:rsidRPr="00142167" w:rsidTr="00122124">
        <w:trPr>
          <w:trHeight w:val="2415"/>
        </w:trPr>
        <w:tc>
          <w:tcPr>
            <w:tcW w:w="133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7-8</w:t>
            </w:r>
          </w:p>
        </w:tc>
        <w:tc>
          <w:tcPr>
            <w:tcW w:w="8476" w:type="dxa"/>
          </w:tcPr>
          <w:p w:rsidR="0086793E" w:rsidRPr="0086793E" w:rsidRDefault="0086793E" w:rsidP="002A1ACF">
            <w:pPr>
              <w:ind w:left="82"/>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викладений матеріал відповідає темі реферату; реферат оформленний відповідно до вимог, грамотно; реферат містить відомості про наукову новизну та практичну цінність досліджень; план реферату розкриває обрану тему; глибина розкриття теми, ступінь вирішення поставлених завдань, завершеність дослідження відповідає сучасному рівню; особистий внесок оцінюється із наявності власних аналітичних висновків; відповіді обгрунтовані; в рефераті використано рекомендовану літературу.</w:t>
            </w:r>
          </w:p>
        </w:tc>
      </w:tr>
      <w:tr w:rsidR="0086793E" w:rsidRPr="00142167" w:rsidTr="00122124">
        <w:trPr>
          <w:trHeight w:val="2415"/>
        </w:trPr>
        <w:tc>
          <w:tcPr>
            <w:tcW w:w="133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4-6</w:t>
            </w:r>
          </w:p>
        </w:tc>
        <w:tc>
          <w:tcPr>
            <w:tcW w:w="8476" w:type="dxa"/>
          </w:tcPr>
          <w:p w:rsidR="0086793E" w:rsidRPr="0086793E" w:rsidRDefault="0086793E" w:rsidP="002A1ACF">
            <w:pPr>
              <w:ind w:left="82"/>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викладений матеріал відповідає темі реферату; реферат оформленний відповідно до вимог, але допущені неточні вирази, відсутній стиль викладання; в рефераті не достатньо обгрунтовано відомості про наукову новизну та практичну цінність досліджень; план реферату узагальнює обрану тему; глибина розкриття теми, ступінь вирішення поставлений завдань, завершеність дослідження наведені не логічно або підлягають критиці; особистий внесок оцінити складно; висновки не узагальнюють весь наведений матеріал; в рефераті викоритсано рекомендовану літературу.</w:t>
            </w:r>
          </w:p>
        </w:tc>
      </w:tr>
      <w:tr w:rsidR="0086793E" w:rsidRPr="0086793E" w:rsidTr="00122124">
        <w:trPr>
          <w:trHeight w:val="79"/>
        </w:trPr>
        <w:tc>
          <w:tcPr>
            <w:tcW w:w="1337" w:type="dxa"/>
          </w:tcPr>
          <w:p w:rsidR="0086793E" w:rsidRPr="0086793E" w:rsidRDefault="0086793E" w:rsidP="002A1ACF">
            <w:pPr>
              <w:contextualSpacing/>
              <w:jc w:val="center"/>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1-3</w:t>
            </w:r>
          </w:p>
        </w:tc>
        <w:tc>
          <w:tcPr>
            <w:tcW w:w="8476" w:type="dxa"/>
          </w:tcPr>
          <w:p w:rsidR="0086793E" w:rsidRPr="0086793E" w:rsidRDefault="0086793E" w:rsidP="002A1ACF">
            <w:pPr>
              <w:ind w:left="82"/>
              <w:contextualSpacing/>
              <w:jc w:val="both"/>
              <w:rPr>
                <w:rFonts w:ascii="Times New Roman" w:eastAsia="Calibri" w:hAnsi="Times New Roman" w:cs="Times New Roman"/>
                <w:bCs/>
                <w:sz w:val="28"/>
                <w:szCs w:val="28"/>
                <w:lang w:val="uk-UA"/>
              </w:rPr>
            </w:pPr>
            <w:r w:rsidRPr="0086793E">
              <w:rPr>
                <w:rFonts w:ascii="Times New Roman" w:eastAsia="Calibri" w:hAnsi="Times New Roman" w:cs="Times New Roman"/>
                <w:bCs/>
                <w:sz w:val="28"/>
                <w:szCs w:val="28"/>
                <w:lang w:val="uk-UA"/>
              </w:rPr>
              <w:t>викладений матеріал не відповідає темі реферату; реферат оформленний у супереч вимог, безграмотно; реферат не містить відомості про наукову новизну та практичну цінність досліджень; план реферату не розкриває обрану тему; тему не розкрито; реферат не виконаний автором особисто і не містить власних аналітичних висновків; висновки не обгрунтовані; в рефераті не містяться переліку літературних джерел.</w:t>
            </w:r>
          </w:p>
        </w:tc>
      </w:tr>
    </w:tbl>
    <w:p w:rsidR="0086793E" w:rsidRDefault="0086793E" w:rsidP="002A1ACF">
      <w:pPr>
        <w:spacing w:after="0" w:line="240" w:lineRule="auto"/>
        <w:contextualSpacing/>
        <w:rPr>
          <w:rFonts w:ascii="Times New Roman" w:eastAsia="Calibri" w:hAnsi="Times New Roman" w:cs="Times New Roman"/>
          <w:sz w:val="28"/>
          <w:szCs w:val="28"/>
          <w:lang w:val="uk-UA"/>
        </w:rPr>
        <w:sectPr w:rsidR="0086793E" w:rsidSect="00933C1F">
          <w:pgSz w:w="11906" w:h="16838"/>
          <w:pgMar w:top="1134" w:right="567" w:bottom="1134" w:left="1701" w:header="709" w:footer="709" w:gutter="0"/>
          <w:cols w:space="708"/>
          <w:docGrid w:linePitch="360"/>
        </w:sectPr>
      </w:pPr>
      <w:r w:rsidRPr="0086793E">
        <w:rPr>
          <w:rFonts w:ascii="Times New Roman" w:eastAsia="Calibri" w:hAnsi="Times New Roman" w:cs="Times New Roman"/>
          <w:sz w:val="28"/>
          <w:szCs w:val="28"/>
          <w:lang w:val="uk-UA"/>
        </w:rPr>
        <w:br w:type="page"/>
      </w:r>
    </w:p>
    <w:p w:rsidR="002F5599" w:rsidRPr="00E052C1" w:rsidRDefault="002F5599" w:rsidP="002A1ACF">
      <w:pPr>
        <w:pStyle w:val="1"/>
        <w:spacing w:before="0" w:line="240" w:lineRule="auto"/>
        <w:contextualSpacing/>
        <w:jc w:val="center"/>
        <w:rPr>
          <w:rFonts w:ascii="Times New Roman" w:eastAsia="Calibri" w:hAnsi="Times New Roman" w:cs="Times New Roman"/>
          <w:lang w:val="uk-UA"/>
        </w:rPr>
      </w:pPr>
      <w:bookmarkStart w:id="6" w:name="_Toc69652399"/>
      <w:r w:rsidRPr="00E052C1">
        <w:rPr>
          <w:rFonts w:ascii="Times New Roman" w:eastAsia="Calibri" w:hAnsi="Times New Roman" w:cs="Times New Roman"/>
          <w:lang w:val="uk-UA"/>
        </w:rPr>
        <w:lastRenderedPageBreak/>
        <w:t>ПЕРЕЛІК ПИТАНЬ ДО ВСТУПНОГО ІСПИТУ</w:t>
      </w:r>
      <w:bookmarkEnd w:id="6"/>
    </w:p>
    <w:p w:rsidR="002F5599" w:rsidRPr="002F5599" w:rsidRDefault="002F5599" w:rsidP="002A1ACF">
      <w:pPr>
        <w:shd w:val="clear" w:color="auto" w:fill="FFFFFF"/>
        <w:spacing w:after="0" w:line="240" w:lineRule="auto"/>
        <w:ind w:right="270"/>
        <w:contextualSpacing/>
        <w:jc w:val="center"/>
        <w:rPr>
          <w:rFonts w:ascii="Times New Roman" w:hAnsi="Times New Roman" w:cs="Times New Roman"/>
          <w:b/>
          <w:bCs/>
          <w:sz w:val="28"/>
          <w:szCs w:val="28"/>
          <w:lang w:val="uk-UA"/>
        </w:rPr>
      </w:pPr>
    </w:p>
    <w:p w:rsidR="00113E26" w:rsidRPr="00FE6FB0" w:rsidRDefault="00FE6FB0" w:rsidP="002A1ACF">
      <w:pPr>
        <w:shd w:val="clear" w:color="auto" w:fill="FFFFFF"/>
        <w:spacing w:after="0" w:line="240" w:lineRule="auto"/>
        <w:ind w:right="270"/>
        <w:contextual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ПЕДІАТРІЯ</w:t>
      </w:r>
    </w:p>
    <w:p w:rsidR="00113E26" w:rsidRDefault="00113E26" w:rsidP="002A1ACF">
      <w:pPr>
        <w:shd w:val="clear" w:color="auto" w:fill="FFFFFF"/>
        <w:spacing w:after="0" w:line="240" w:lineRule="auto"/>
        <w:ind w:right="270"/>
        <w:contextualSpacing/>
        <w:rPr>
          <w:b/>
          <w:bCs/>
          <w:sz w:val="28"/>
          <w:szCs w:val="28"/>
        </w:rPr>
      </w:pP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Організація лікувально-профілактичної допомоги дітям.</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Вплив соціальних, біологічних та екологічних факторів на здоров’я дитини.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Організація лікувально-профілактичної допомоги дітям. Лікарня, доброзичлива до дитини. Клініка, дружня для молоді.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Харчування здорових і хворих дітей</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Сучасна концепція збалансованого харчування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Раціональне вигодовування дітей першого року життя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Принципи грудного вигодовування немовлят, сформульовані ВООЗ і шляхи їх впровадження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Харчування хворої дитини, хронічні розлади харчування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Рахіт та рахітоподібні захворювання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Медична генетика та імунобіологічна реактивність</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Основи медичної генетики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Спадкові та вроджені хвороби людини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Основи імунології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Первинні та вторинні імунодефіцитні стани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Імунокорекція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новонароджених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Вплив шкідливих факторів, хвороб матері в різні терміни вагітності на форм, плоду</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Внутрішньоутробні інфекції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Жовтяниця новонароджених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Сепсис новонароджених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органів дихання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Методи дослідження органів дихання та інтерпретація їх результатів</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Гострі респіраторні захворювання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Гострий обструктивний ларингіт</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Бронхіти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Пневмонія, сучасна етіологічна структура, патогенез, клініка, лікування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Хронічні неспецифічні бронхолегеневі захворювання.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Гостра пневмонія, сучасна етіологічна структура, патогенез, клініка, лікування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Бронхіальна астма . Алергічний риніт. Поліноз</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Плеврити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органів кровообігу</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Первинна і вторинна артеріальна гіпертензія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Вегетативна дисфункція, особливості у підлітковому віці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Вроджені вади серця і магістральних судин, рання діагностика</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Порушення серцевого ритму і провідності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lastRenderedPageBreak/>
        <w:t>Хвороби серця неревматичної природи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Гостра та хронічна серцева недостатність</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Дифузні хвороби сполучної тканини. Ревматизм</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Ревматизм. Набуті вади серця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Ревматоїдний артрит</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Системний червоний вовчак</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Інші дифузні хвороби сполучної тканини (дерматоміозит, візликовий поліартеріїт та ін.)</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органів кровотворення. Геморагічні та тромботичні захворювння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Дослідження периферичної крові та клінічна оцінка гемограм</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Анемії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Лейкемії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Лейкемоїдні реакції. Доброякісні лімфаденопатіії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Геморагічні і тромботичні захворювання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органів травлення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Методи дослідження шлунково-кишкового тракту та оцінка їх результатів</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Захворювання стравоходу</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 xml:space="preserve">Захворювання шлунку та дванадцятипалої кишки. Гастрити, гастродуоденіти </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Виразкова хвороба шлунку та дванадцятипалої кишки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Пілоростеноз</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Захворювання товстої і тонкої кишки: Неспецифічний виразковий коліт</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Дисбактеріоз</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Патологія печінки і жовчовивідних шляхів</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Захворювання, що перебігають із синдромом мальасиміляції (ексудативна ентеропатія, целіакія, дисахаридазна недостатність, муковісцидоз, харчова алергія)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Хронічні захворювання печінки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Захворювання підшлункової залози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Хвороби сечової системи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Методи дослідження сечової системи та оцінка результатів дослідження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Гострий та хронічний гломерулонефрит</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Мікробно-запальні захворювання сечових шляхів ;</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Спадкові та вроджені хвороби сечової системи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Гостра та хронічна ниркова недостатність</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Невідкладні стани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Принципи сердцево-легеневої реанімації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Невідкладна допомога при кровотечах, геморагічних і тромботичних захворюваннях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Гостра дихальна недостатність, невідкладна допомога</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Синдром нейротоксикозу</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Судомний синдром, принципи терапії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Шок і його різновиди, невідкладна допомога</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lastRenderedPageBreak/>
        <w:t>Коми, їх диференційна діагностика, невідкладна допомога</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Основні принципи інтенсивної терапії при отруєннях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Невідкладна допомога при травмах, опіку, обморожуванні, утепленні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Інші питання педіатрії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Дифтерія</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Менінгококова інфекція .</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Туберкульоз. Клініка, специфічні методи діагностики та профілактика</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 xml:space="preserve">Інвазивні та секреторні діареї </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Антибіотикотерапія у дітей</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Захворювання щитовидної залози</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Цукровий діабет</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Організація екстренної медичної допомоги населенню у надзвичайних ситуаціях</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Проблеми СНіДу і вірусних гепатитів</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 xml:space="preserve">Імунопрофілактика </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Класифікація препаратів для проведення вакцинації.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Нац.календар щеплень. Документи, що регламентують проведення щеплень в Україні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Несприятливі події після імунізації (НІШІ). Порядок реєстрації, НІШІ. Розслідування випадку НППІ</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Проведення вакцинальної сесії. Правила введення вакцин</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Збереження та транспортування вакцин</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Протипоказання до вакцинації</w:t>
      </w:r>
    </w:p>
    <w:p w:rsidR="00FE6FB0" w:rsidRPr="00FE6FB0" w:rsidRDefault="00FE6FB0" w:rsidP="00FE6FB0">
      <w:pPr>
        <w:pStyle w:val="a3"/>
        <w:numPr>
          <w:ilvl w:val="0"/>
          <w:numId w:val="22"/>
        </w:numPr>
        <w:spacing w:after="0" w:line="240" w:lineRule="auto"/>
        <w:ind w:hanging="720"/>
        <w:jc w:val="both"/>
        <w:rPr>
          <w:rFonts w:ascii="Times New Roman" w:hAnsi="Times New Roman" w:cs="Times New Roman"/>
          <w:sz w:val="28"/>
          <w:szCs w:val="28"/>
        </w:rPr>
      </w:pPr>
      <w:r w:rsidRPr="00FE6FB0">
        <w:rPr>
          <w:rFonts w:ascii="Times New Roman" w:hAnsi="Times New Roman" w:cs="Times New Roman"/>
          <w:sz w:val="28"/>
          <w:szCs w:val="28"/>
        </w:rPr>
        <w:t>Щеплення за станом здоров'я. Рекомендовані щеплення</w:t>
      </w:r>
    </w:p>
    <w:p w:rsidR="000124BF" w:rsidRPr="005C6178" w:rsidRDefault="000124BF" w:rsidP="002A1ACF">
      <w:pPr>
        <w:spacing w:after="0" w:line="240" w:lineRule="auto"/>
        <w:contextualSpacing/>
        <w:jc w:val="both"/>
        <w:rPr>
          <w:rFonts w:ascii="Times New Roman" w:hAnsi="Times New Roman" w:cs="Times New Roman"/>
          <w:sz w:val="28"/>
          <w:szCs w:val="28"/>
        </w:rPr>
      </w:pPr>
    </w:p>
    <w:p w:rsidR="00E1765E" w:rsidRDefault="00E1765E" w:rsidP="002A1ACF">
      <w:pPr>
        <w:pStyle w:val="1"/>
        <w:spacing w:before="0" w:line="240" w:lineRule="auto"/>
        <w:contextualSpacing/>
        <w:jc w:val="center"/>
        <w:rPr>
          <w:rFonts w:ascii="Times New Roman" w:hAnsi="Times New Roman" w:cs="Times New Roman"/>
        </w:rPr>
        <w:sectPr w:rsidR="00E1765E" w:rsidSect="00933C1F">
          <w:pgSz w:w="11906" w:h="16838"/>
          <w:pgMar w:top="1134" w:right="567" w:bottom="1134" w:left="1701" w:header="709" w:footer="709" w:gutter="0"/>
          <w:cols w:space="708"/>
          <w:docGrid w:linePitch="360"/>
        </w:sectPr>
      </w:pPr>
    </w:p>
    <w:p w:rsidR="00D1031D" w:rsidRDefault="000124BF" w:rsidP="002A1ACF">
      <w:pPr>
        <w:pStyle w:val="1"/>
        <w:spacing w:before="0" w:line="240" w:lineRule="auto"/>
        <w:contextualSpacing/>
        <w:jc w:val="center"/>
        <w:rPr>
          <w:rFonts w:ascii="Times New Roman" w:hAnsi="Times New Roman" w:cs="Times New Roman"/>
          <w:lang w:val="uk-UA"/>
        </w:rPr>
      </w:pPr>
      <w:bookmarkStart w:id="7" w:name="_Toc69652400"/>
      <w:r w:rsidRPr="00E052C1">
        <w:rPr>
          <w:rFonts w:ascii="Times New Roman" w:hAnsi="Times New Roman" w:cs="Times New Roman"/>
        </w:rPr>
        <w:lastRenderedPageBreak/>
        <w:t>ПЕРЕЛІК ОРІЄНТОВНИХ ТЕМ РЕФЕРАТІВ</w:t>
      </w:r>
      <w:bookmarkEnd w:id="7"/>
      <w:r w:rsidRPr="00E052C1">
        <w:rPr>
          <w:rFonts w:ascii="Times New Roman" w:hAnsi="Times New Roman" w:cs="Times New Roman"/>
        </w:rPr>
        <w:t xml:space="preserve"> </w:t>
      </w:r>
    </w:p>
    <w:p w:rsidR="000124BF" w:rsidRPr="005F45B0" w:rsidRDefault="000124BF" w:rsidP="00D1031D">
      <w:pPr>
        <w:jc w:val="center"/>
        <w:rPr>
          <w:rFonts w:ascii="Times New Roman" w:hAnsi="Times New Roman" w:cs="Times New Roman"/>
          <w:b/>
          <w:color w:val="0070C0"/>
          <w:sz w:val="28"/>
          <w:szCs w:val="28"/>
        </w:rPr>
      </w:pPr>
      <w:r w:rsidRPr="005F45B0">
        <w:rPr>
          <w:rFonts w:ascii="Times New Roman" w:hAnsi="Times New Roman" w:cs="Times New Roman"/>
          <w:b/>
          <w:color w:val="0070C0"/>
          <w:sz w:val="28"/>
          <w:szCs w:val="28"/>
        </w:rPr>
        <w:t>ДО</w:t>
      </w:r>
      <w:r w:rsidR="00AA1A8D" w:rsidRPr="005F45B0">
        <w:rPr>
          <w:rFonts w:ascii="Times New Roman" w:hAnsi="Times New Roman" w:cs="Times New Roman"/>
          <w:b/>
          <w:color w:val="0070C0"/>
          <w:sz w:val="28"/>
          <w:szCs w:val="28"/>
          <w:lang w:val="uk-UA"/>
        </w:rPr>
        <w:t xml:space="preserve"> </w:t>
      </w:r>
      <w:r w:rsidRPr="005F45B0">
        <w:rPr>
          <w:rFonts w:ascii="Times New Roman" w:hAnsi="Times New Roman" w:cs="Times New Roman"/>
          <w:b/>
          <w:color w:val="0070C0"/>
          <w:sz w:val="28"/>
          <w:szCs w:val="28"/>
        </w:rPr>
        <w:t>ВСТ</w:t>
      </w:r>
      <w:r w:rsidR="003D47FF" w:rsidRPr="005F45B0">
        <w:rPr>
          <w:rFonts w:ascii="Times New Roman" w:hAnsi="Times New Roman" w:cs="Times New Roman"/>
          <w:b/>
          <w:color w:val="0070C0"/>
          <w:sz w:val="28"/>
          <w:szCs w:val="28"/>
        </w:rPr>
        <w:t>УПНОГО ІСПИТУ В АСПІРАН</w:t>
      </w:r>
      <w:r w:rsidR="003D47FF" w:rsidRPr="005F45B0">
        <w:rPr>
          <w:rFonts w:ascii="Times New Roman" w:hAnsi="Times New Roman" w:cs="Times New Roman"/>
          <w:b/>
          <w:color w:val="0070C0"/>
          <w:sz w:val="28"/>
          <w:szCs w:val="28"/>
          <w:lang w:val="uk-UA"/>
        </w:rPr>
        <w:t>ТУ</w:t>
      </w:r>
      <w:r w:rsidR="005C6178" w:rsidRPr="005F45B0">
        <w:rPr>
          <w:rFonts w:ascii="Times New Roman" w:hAnsi="Times New Roman" w:cs="Times New Roman"/>
          <w:b/>
          <w:color w:val="0070C0"/>
          <w:sz w:val="28"/>
          <w:szCs w:val="28"/>
        </w:rPr>
        <w:t>РУ</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 xml:space="preserve">Раціональне вигодовування дітей першого року життя. Сучасні вітчизняні та міжнародні рекомендації. </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Принципи грудного вигодовування немовлят, сформульовані ВООЗ, та шляхи їх впровадження у практику.</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Гостра та хронічна білково-енергетична недостатність. Сучасні підходи до діагностики та лікування.</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Захворювання, що перебігають із синдромом мальабсорбції. Диферпенційний діагноз та підходи до корекції.</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 xml:space="preserve">Анемії у дітей та підлітків. </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Терапія пневмоній різної етіології у дітей та підлітків з огляду на міжнародні рекомендації.</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Бронхо-обструктивний синдром у дітей та підлітків: диференційна діагностика та сучасні підходи до терапії.</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Хвороба Кавасакі у дітей.</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Функціональні гастроінтестінальні розлади у дітей: Римські критерії та Римські класифікації.</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Кислотозалежні захворювання у дітей та підлітків:  сучасний погляд на проблему.</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COVID-19 у дітей: ризики інфекційні та неінфекційні.</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pacing w:val="-4"/>
          <w:sz w:val="28"/>
          <w:szCs w:val="28"/>
        </w:rPr>
      </w:pPr>
      <w:r w:rsidRPr="00EC21E9">
        <w:rPr>
          <w:rFonts w:ascii="Times New Roman" w:hAnsi="Times New Roman" w:cs="Times New Roman"/>
          <w:spacing w:val="-4"/>
          <w:sz w:val="28"/>
          <w:szCs w:val="28"/>
        </w:rPr>
        <w:t>Мультисистемний запальний синдром, асоційований із COVID-19 (MIS-C).</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Заході інфекційного контролю у практиці лікаря-педіатра для запобігання розповсюдженню інфекційних захворювань.</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Інфекції сечовидільної системи: особливості етіології та перебігу у дітей різної статі та різного віку.</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Рідкісні типи та форми цукрового діабету у дітей.</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Лихоманка невідомого ґенезу у дітей. Алгоритм диференційної діагностики та тактика ведення хворих.</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Гострий обструктивний ларингіт. Надання допомоги з огляду на сучасні рекомендації.</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Кропив’янка та анафілаксія у дітей. Стандарти діагностики та ведення пацієнтів.</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Менінгококова інфекція у дітей. Сучасні можливості лікування та профілактики.</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Захворювання, що супроводжуються суглобовим синдромом у дітей. Диференційна діагностика та тактика лікаря первинної ланки.</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Первинні імунодефіцити: діагностика та тактика ведення на первинній ланці.</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Імунопрофілактика грипу та пневмококової інфекції: сучасні можливості та ефективність.</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Сучасні можливості трансплантації кісткового мозку у світі та в Україні.</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Патологія росту у дітей та підлітків.</w:t>
      </w:r>
    </w:p>
    <w:p w:rsidR="00EC21E9" w:rsidRPr="00EC21E9" w:rsidRDefault="00EC21E9" w:rsidP="00EC21E9">
      <w:pPr>
        <w:pStyle w:val="a3"/>
        <w:numPr>
          <w:ilvl w:val="0"/>
          <w:numId w:val="23"/>
        </w:numPr>
        <w:spacing w:after="0" w:line="23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Затримка внутрішньоутробного росту та розвитку. Причини, наслідки, можливості лікування та профілактики.</w:t>
      </w:r>
    </w:p>
    <w:p w:rsidR="00113E26" w:rsidRPr="00EC21E9" w:rsidRDefault="00EC21E9" w:rsidP="002A1ACF">
      <w:pPr>
        <w:pStyle w:val="a3"/>
        <w:numPr>
          <w:ilvl w:val="0"/>
          <w:numId w:val="23"/>
        </w:numPr>
        <w:spacing w:after="0" w:line="240" w:lineRule="auto"/>
        <w:ind w:hanging="720"/>
        <w:jc w:val="both"/>
        <w:rPr>
          <w:rFonts w:ascii="Times New Roman" w:hAnsi="Times New Roman" w:cs="Times New Roman"/>
          <w:sz w:val="28"/>
          <w:szCs w:val="28"/>
        </w:rPr>
      </w:pPr>
      <w:r w:rsidRPr="00EC21E9">
        <w:rPr>
          <w:rFonts w:ascii="Times New Roman" w:hAnsi="Times New Roman" w:cs="Times New Roman"/>
          <w:sz w:val="28"/>
          <w:szCs w:val="28"/>
        </w:rPr>
        <w:t>Нутритивно-асоційовані захворювання в дитячому віці.</w:t>
      </w:r>
    </w:p>
    <w:p w:rsidR="00E1765E" w:rsidRDefault="00E1765E" w:rsidP="002A1ACF">
      <w:pPr>
        <w:pStyle w:val="1"/>
        <w:spacing w:before="0" w:line="240" w:lineRule="auto"/>
        <w:contextualSpacing/>
        <w:jc w:val="center"/>
        <w:rPr>
          <w:rFonts w:ascii="Times New Roman" w:hAnsi="Times New Roman" w:cs="Times New Roman"/>
        </w:rPr>
        <w:sectPr w:rsidR="00E1765E" w:rsidSect="00933C1F">
          <w:pgSz w:w="11906" w:h="16838"/>
          <w:pgMar w:top="1134" w:right="567" w:bottom="1134" w:left="1701" w:header="709" w:footer="709" w:gutter="0"/>
          <w:cols w:space="708"/>
          <w:docGrid w:linePitch="360"/>
        </w:sectPr>
      </w:pPr>
    </w:p>
    <w:p w:rsidR="000124BF" w:rsidRPr="002A1ACF" w:rsidRDefault="004325CB" w:rsidP="002A1ACF">
      <w:pPr>
        <w:pStyle w:val="1"/>
        <w:spacing w:before="0" w:line="240" w:lineRule="auto"/>
        <w:contextualSpacing/>
        <w:jc w:val="center"/>
        <w:rPr>
          <w:rFonts w:ascii="Times New Roman" w:hAnsi="Times New Roman" w:cs="Times New Roman"/>
          <w:lang w:val="uk-UA"/>
        </w:rPr>
      </w:pPr>
      <w:bookmarkStart w:id="8" w:name="_Toc69652401"/>
      <w:r w:rsidRPr="002A1ACF">
        <w:rPr>
          <w:rFonts w:ascii="Times New Roman" w:hAnsi="Times New Roman" w:cs="Times New Roman"/>
        </w:rPr>
        <w:lastRenderedPageBreak/>
        <w:t>ПЕРЕЛІК РЕКОМЕНДОВАНОЇ ЛІТЕРАТУРИ</w:t>
      </w:r>
      <w:bookmarkEnd w:id="8"/>
    </w:p>
    <w:p w:rsidR="00E052C1" w:rsidRPr="00E052C1" w:rsidRDefault="00E052C1" w:rsidP="002A1ACF">
      <w:pPr>
        <w:spacing w:after="0" w:line="240" w:lineRule="auto"/>
        <w:contextualSpacing/>
        <w:jc w:val="center"/>
        <w:rPr>
          <w:rFonts w:ascii="Times New Roman" w:hAnsi="Times New Roman" w:cs="Times New Roman"/>
          <w:b/>
          <w:sz w:val="28"/>
          <w:szCs w:val="28"/>
          <w:lang w:val="uk-UA"/>
        </w:rPr>
      </w:pP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lang w:eastAsia="ru-RU"/>
        </w:rPr>
      </w:pPr>
      <w:bookmarkStart w:id="9" w:name="_Toc69645732"/>
      <w:r w:rsidRPr="000A3788">
        <w:rPr>
          <w:rFonts w:ascii="Times New Roman" w:eastAsia="Calibri" w:hAnsi="Times New Roman" w:cs="Times New Roman"/>
          <w:bCs/>
          <w:sz w:val="28"/>
          <w:szCs w:val="28"/>
          <w:lang w:eastAsia="ru-RU"/>
        </w:rPr>
        <w:t>Марушко Т.В. Системні</w:t>
      </w:r>
      <w:r w:rsidRPr="000A3788">
        <w:rPr>
          <w:rFonts w:ascii="Times New Roman" w:eastAsia="Calibri" w:hAnsi="Times New Roman" w:cs="Times New Roman"/>
          <w:bCs/>
          <w:sz w:val="28"/>
          <w:szCs w:val="28"/>
          <w:lang w:val="uk-UA" w:eastAsia="ru-RU"/>
        </w:rPr>
        <w:t xml:space="preserve"> </w:t>
      </w:r>
      <w:r w:rsidRPr="000A3788">
        <w:rPr>
          <w:rFonts w:ascii="Times New Roman" w:eastAsia="Calibri" w:hAnsi="Times New Roman" w:cs="Times New Roman"/>
          <w:bCs/>
          <w:sz w:val="28"/>
          <w:szCs w:val="28"/>
          <w:lang w:eastAsia="ru-RU"/>
        </w:rPr>
        <w:t>васкуліти у дітей: принципи</w:t>
      </w:r>
      <w:r w:rsidRPr="000A3788">
        <w:rPr>
          <w:rFonts w:ascii="Times New Roman" w:eastAsia="Calibri" w:hAnsi="Times New Roman" w:cs="Times New Roman"/>
          <w:bCs/>
          <w:sz w:val="28"/>
          <w:szCs w:val="28"/>
          <w:lang w:val="uk-UA" w:eastAsia="ru-RU"/>
        </w:rPr>
        <w:t xml:space="preserve"> </w:t>
      </w:r>
      <w:r w:rsidRPr="000A3788">
        <w:rPr>
          <w:rFonts w:ascii="Times New Roman" w:eastAsia="Calibri" w:hAnsi="Times New Roman" w:cs="Times New Roman"/>
          <w:bCs/>
          <w:sz w:val="28"/>
          <w:szCs w:val="28"/>
          <w:lang w:eastAsia="ru-RU"/>
        </w:rPr>
        <w:t>діагностики і лікування. Тематичний номер « Педіатрія» №1(52) 2020р.</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lang w:val="en-US" w:eastAsia="ru-RU"/>
        </w:rPr>
      </w:pPr>
      <w:r w:rsidRPr="000A3788">
        <w:rPr>
          <w:rFonts w:ascii="Times New Roman" w:eastAsia="Calibri" w:hAnsi="Times New Roman" w:cs="Times New Roman"/>
          <w:bCs/>
          <w:sz w:val="28"/>
          <w:szCs w:val="28"/>
          <w:lang w:eastAsia="ru-RU"/>
        </w:rPr>
        <w:t>Марушко Т.В. Системні</w:t>
      </w:r>
      <w:r w:rsidRPr="000A3788">
        <w:rPr>
          <w:rFonts w:ascii="Times New Roman" w:eastAsia="Calibri" w:hAnsi="Times New Roman" w:cs="Times New Roman"/>
          <w:bCs/>
          <w:sz w:val="28"/>
          <w:szCs w:val="28"/>
          <w:lang w:val="uk-UA" w:eastAsia="ru-RU"/>
        </w:rPr>
        <w:t xml:space="preserve"> </w:t>
      </w:r>
      <w:r w:rsidRPr="000A3788">
        <w:rPr>
          <w:rFonts w:ascii="Times New Roman" w:eastAsia="Calibri" w:hAnsi="Times New Roman" w:cs="Times New Roman"/>
          <w:bCs/>
          <w:sz w:val="28"/>
          <w:szCs w:val="28"/>
          <w:lang w:eastAsia="ru-RU"/>
        </w:rPr>
        <w:t>васкуліти у дітей: принципи</w:t>
      </w:r>
      <w:r w:rsidRPr="000A3788">
        <w:rPr>
          <w:rFonts w:ascii="Times New Roman" w:eastAsia="Calibri" w:hAnsi="Times New Roman" w:cs="Times New Roman"/>
          <w:bCs/>
          <w:sz w:val="28"/>
          <w:szCs w:val="28"/>
          <w:lang w:val="uk-UA" w:eastAsia="ru-RU"/>
        </w:rPr>
        <w:t xml:space="preserve"> </w:t>
      </w:r>
      <w:r w:rsidRPr="000A3788">
        <w:rPr>
          <w:rFonts w:ascii="Times New Roman" w:eastAsia="Calibri" w:hAnsi="Times New Roman" w:cs="Times New Roman"/>
          <w:bCs/>
          <w:sz w:val="28"/>
          <w:szCs w:val="28"/>
          <w:lang w:eastAsia="ru-RU"/>
        </w:rPr>
        <w:t>діагностики і лікування. Тематичний</w:t>
      </w:r>
      <w:r w:rsidRPr="000A3788">
        <w:rPr>
          <w:rFonts w:ascii="Times New Roman" w:eastAsia="Calibri" w:hAnsi="Times New Roman" w:cs="Times New Roman"/>
          <w:bCs/>
          <w:sz w:val="28"/>
          <w:szCs w:val="28"/>
          <w:lang w:val="en-US" w:eastAsia="ru-RU"/>
        </w:rPr>
        <w:t xml:space="preserve"> </w:t>
      </w:r>
      <w:r w:rsidRPr="000A3788">
        <w:rPr>
          <w:rFonts w:ascii="Times New Roman" w:eastAsia="Calibri" w:hAnsi="Times New Roman" w:cs="Times New Roman"/>
          <w:bCs/>
          <w:sz w:val="28"/>
          <w:szCs w:val="28"/>
          <w:lang w:eastAsia="ru-RU"/>
        </w:rPr>
        <w:t>номер</w:t>
      </w:r>
      <w:r w:rsidRPr="000A3788">
        <w:rPr>
          <w:rFonts w:ascii="Times New Roman" w:eastAsia="Calibri" w:hAnsi="Times New Roman" w:cs="Times New Roman"/>
          <w:bCs/>
          <w:sz w:val="28"/>
          <w:szCs w:val="28"/>
          <w:lang w:val="en-US" w:eastAsia="ru-RU"/>
        </w:rPr>
        <w:t xml:space="preserve"> «</w:t>
      </w:r>
      <w:r w:rsidRPr="000A3788">
        <w:rPr>
          <w:rFonts w:ascii="Times New Roman" w:eastAsia="Calibri" w:hAnsi="Times New Roman" w:cs="Times New Roman"/>
          <w:bCs/>
          <w:sz w:val="28"/>
          <w:szCs w:val="28"/>
          <w:lang w:eastAsia="ru-RU"/>
        </w:rPr>
        <w:t>Педіатрія</w:t>
      </w:r>
      <w:r w:rsidRPr="000A3788">
        <w:rPr>
          <w:rFonts w:ascii="Times New Roman" w:eastAsia="Calibri" w:hAnsi="Times New Roman" w:cs="Times New Roman"/>
          <w:bCs/>
          <w:sz w:val="28"/>
          <w:szCs w:val="28"/>
          <w:lang w:val="en-US" w:eastAsia="ru-RU"/>
        </w:rPr>
        <w:t xml:space="preserve">» №3 (54) 2020 </w:t>
      </w:r>
      <w:r w:rsidRPr="000A3788">
        <w:rPr>
          <w:rFonts w:ascii="Times New Roman" w:eastAsia="Calibri" w:hAnsi="Times New Roman" w:cs="Times New Roman"/>
          <w:bCs/>
          <w:sz w:val="28"/>
          <w:szCs w:val="28"/>
          <w:lang w:eastAsia="ru-RU"/>
        </w:rPr>
        <w:t>р</w:t>
      </w:r>
      <w:r w:rsidRPr="000A3788">
        <w:rPr>
          <w:rFonts w:ascii="Times New Roman" w:eastAsia="Calibri" w:hAnsi="Times New Roman" w:cs="Times New Roman"/>
          <w:bCs/>
          <w:sz w:val="28"/>
          <w:szCs w:val="28"/>
          <w:lang w:val="en-US" w:eastAsia="ru-RU"/>
        </w:rPr>
        <w:t>.</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Марушко Т.В., Ювенільний</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Дерматоміозит. Тематичний номер «Педіатрія» №3 (50), 2019 р</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Марушко Т.В, Системний</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Червоний</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Вовчак у дітей. Тематичний номер «Педіатрія» № 3 (46), вересень-жовтень 2018 р.</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Гордєєв А.В., Савушкин Н.М.,</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Галушко Е.А. Лихоманка неясного походження в ревматології. Тематичний номер «Сучасна ревматологія» №2, 2018р.</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00611. Риносинусит у дітей. Настанови на засадах доказової медицини. Створені DUODECIM MedicalPublications, Ltd. 2017-05-11</w:t>
      </w:r>
    </w:p>
    <w:p w:rsidR="000A3788" w:rsidRPr="000A3788" w:rsidRDefault="000A3788" w:rsidP="000A3788">
      <w:pPr>
        <w:numPr>
          <w:ilvl w:val="0"/>
          <w:numId w:val="24"/>
        </w:numPr>
        <w:shd w:val="clear" w:color="auto" w:fill="FFFFFF"/>
        <w:spacing w:after="0" w:line="276" w:lineRule="auto"/>
        <w:ind w:hanging="720"/>
        <w:contextualSpacing/>
        <w:jc w:val="both"/>
        <w:textAlignment w:val="baseline"/>
        <w:rPr>
          <w:rFonts w:ascii="Times New Roman" w:eastAsia="Calibri" w:hAnsi="Times New Roman" w:cs="Times New Roman"/>
          <w:bCs/>
          <w:sz w:val="28"/>
          <w:szCs w:val="28"/>
          <w:shd w:val="clear" w:color="auto" w:fill="FFFFFF"/>
        </w:rPr>
      </w:pPr>
      <w:r w:rsidRPr="000A3788">
        <w:rPr>
          <w:rFonts w:ascii="Times New Roman" w:eastAsia="Calibri" w:hAnsi="Times New Roman" w:cs="Times New Roman"/>
          <w:bCs/>
          <w:sz w:val="28"/>
          <w:szCs w:val="28"/>
        </w:rPr>
        <w:t>Внутрішні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хвороби. Підручник</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заснований на принципах доказової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медицини, Анджей Щеклік, 2018/2019</w:t>
      </w:r>
    </w:p>
    <w:p w:rsidR="000A3788" w:rsidRPr="000A3788" w:rsidRDefault="000A3788" w:rsidP="000A3788">
      <w:pPr>
        <w:numPr>
          <w:ilvl w:val="0"/>
          <w:numId w:val="24"/>
        </w:numPr>
        <w:shd w:val="clear" w:color="auto" w:fill="FFFFFF"/>
        <w:spacing w:after="0" w:line="276" w:lineRule="auto"/>
        <w:ind w:hanging="720"/>
        <w:contextualSpacing/>
        <w:jc w:val="both"/>
        <w:textAlignment w:val="baseline"/>
        <w:rPr>
          <w:rFonts w:ascii="Times New Roman" w:eastAsia="Calibri" w:hAnsi="Times New Roman" w:cs="Times New Roman"/>
          <w:bCs/>
          <w:sz w:val="28"/>
          <w:szCs w:val="28"/>
          <w:shd w:val="clear" w:color="auto" w:fill="FFFFFF"/>
        </w:rPr>
      </w:pPr>
      <w:r w:rsidRPr="000A3788">
        <w:rPr>
          <w:rFonts w:ascii="Times New Roman" w:eastAsia="Calibri" w:hAnsi="Times New Roman" w:cs="Times New Roman"/>
          <w:bCs/>
          <w:sz w:val="28"/>
          <w:szCs w:val="28"/>
        </w:rPr>
        <w:t>Спеціалізований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медичний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портал:</w:t>
      </w:r>
      <w:r w:rsidRPr="000A3788">
        <w:rPr>
          <w:rFonts w:ascii="Times New Roman" w:eastAsia="Calibri" w:hAnsi="Times New Roman" w:cs="Times New Roman"/>
          <w:bCs/>
          <w:sz w:val="28"/>
          <w:szCs w:val="28"/>
          <w:lang w:val="en-US"/>
        </w:rPr>
        <w:t>Health</w:t>
      </w:r>
      <w:r w:rsidRPr="000A3788">
        <w:rPr>
          <w:rFonts w:ascii="Times New Roman" w:eastAsia="Calibri" w:hAnsi="Times New Roman" w:cs="Times New Roman"/>
          <w:bCs/>
          <w:sz w:val="28"/>
          <w:szCs w:val="28"/>
        </w:rPr>
        <w:t>-</w:t>
      </w:r>
      <w:r w:rsidRPr="000A3788">
        <w:rPr>
          <w:rFonts w:ascii="Times New Roman" w:eastAsia="Calibri" w:hAnsi="Times New Roman" w:cs="Times New Roman"/>
          <w:bCs/>
          <w:sz w:val="28"/>
          <w:szCs w:val="28"/>
          <w:lang w:val="en-US"/>
        </w:rPr>
        <w:t>ua</w:t>
      </w:r>
      <w:r w:rsidRPr="000A3788">
        <w:rPr>
          <w:rFonts w:ascii="Times New Roman" w:eastAsia="Calibri" w:hAnsi="Times New Roman" w:cs="Times New Roman"/>
          <w:bCs/>
          <w:sz w:val="28"/>
          <w:szCs w:val="28"/>
        </w:rPr>
        <w:t>.</w:t>
      </w:r>
      <w:r w:rsidRPr="000A3788">
        <w:rPr>
          <w:rFonts w:ascii="Times New Roman" w:eastAsia="Calibri" w:hAnsi="Times New Roman" w:cs="Times New Roman"/>
          <w:bCs/>
          <w:sz w:val="28"/>
          <w:szCs w:val="28"/>
          <w:lang w:val="en-US"/>
        </w:rPr>
        <w:t>com</w:t>
      </w:r>
      <w:r w:rsidRPr="000A3788">
        <w:rPr>
          <w:rFonts w:ascii="Times New Roman" w:eastAsia="Calibri" w:hAnsi="Times New Roman" w:cs="Times New Roman"/>
          <w:bCs/>
          <w:sz w:val="28"/>
          <w:szCs w:val="28"/>
        </w:rPr>
        <w:t>,Ювенільний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ідіопатичний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артрит,</w:t>
      </w:r>
      <w:r w:rsidRPr="000A3788">
        <w:rPr>
          <w:rFonts w:ascii="Times New Roman" w:eastAsia="Calibri" w:hAnsi="Times New Roman" w:cs="Times New Roman"/>
          <w:bCs/>
          <w:sz w:val="28"/>
          <w:szCs w:val="28"/>
          <w:shd w:val="clear" w:color="auto" w:fill="FFFFFF"/>
        </w:rPr>
        <w:t xml:space="preserve"> Марушко Т.В.,2018</w:t>
      </w:r>
    </w:p>
    <w:p w:rsidR="000A3788" w:rsidRPr="000A3788" w:rsidRDefault="000A3788" w:rsidP="000A3788">
      <w:pPr>
        <w:numPr>
          <w:ilvl w:val="0"/>
          <w:numId w:val="24"/>
        </w:numPr>
        <w:shd w:val="clear" w:color="auto" w:fill="FFFFFF"/>
        <w:spacing w:after="0" w:line="276" w:lineRule="auto"/>
        <w:ind w:hanging="720"/>
        <w:contextualSpacing/>
        <w:jc w:val="both"/>
        <w:textAlignment w:val="baseline"/>
        <w:rPr>
          <w:rFonts w:ascii="Times New Roman" w:eastAsia="Calibri" w:hAnsi="Times New Roman" w:cs="Times New Roman"/>
          <w:bCs/>
          <w:sz w:val="28"/>
          <w:szCs w:val="28"/>
          <w:shd w:val="clear" w:color="auto" w:fill="FFFFFF"/>
        </w:rPr>
      </w:pPr>
      <w:r w:rsidRPr="000A3788">
        <w:rPr>
          <w:rFonts w:ascii="Times New Roman" w:eastAsia="Calibri" w:hAnsi="Times New Roman" w:cs="Times New Roman"/>
          <w:bCs/>
          <w:sz w:val="28"/>
          <w:szCs w:val="28"/>
        </w:rPr>
        <w:t>Спеціалізований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медичний портал:</w:t>
      </w:r>
      <w:r w:rsidRPr="000A3788">
        <w:rPr>
          <w:rFonts w:ascii="Times New Roman" w:eastAsia="Calibri" w:hAnsi="Times New Roman" w:cs="Times New Roman"/>
          <w:bCs/>
          <w:sz w:val="28"/>
          <w:szCs w:val="28"/>
          <w:lang w:val="en-US"/>
        </w:rPr>
        <w:t>Health</w:t>
      </w:r>
      <w:r w:rsidRPr="000A3788">
        <w:rPr>
          <w:rFonts w:ascii="Times New Roman" w:eastAsia="Calibri" w:hAnsi="Times New Roman" w:cs="Times New Roman"/>
          <w:bCs/>
          <w:sz w:val="28"/>
          <w:szCs w:val="28"/>
        </w:rPr>
        <w:t>-</w:t>
      </w:r>
      <w:r w:rsidRPr="000A3788">
        <w:rPr>
          <w:rFonts w:ascii="Times New Roman" w:eastAsia="Calibri" w:hAnsi="Times New Roman" w:cs="Times New Roman"/>
          <w:bCs/>
          <w:sz w:val="28"/>
          <w:szCs w:val="28"/>
          <w:lang w:val="en-US"/>
        </w:rPr>
        <w:t>ua</w:t>
      </w:r>
      <w:r w:rsidRPr="000A3788">
        <w:rPr>
          <w:rFonts w:ascii="Times New Roman" w:eastAsia="Calibri" w:hAnsi="Times New Roman" w:cs="Times New Roman"/>
          <w:bCs/>
          <w:sz w:val="28"/>
          <w:szCs w:val="28"/>
        </w:rPr>
        <w:t>.</w:t>
      </w:r>
      <w:r w:rsidRPr="000A3788">
        <w:rPr>
          <w:rFonts w:ascii="Times New Roman" w:eastAsia="Calibri" w:hAnsi="Times New Roman" w:cs="Times New Roman"/>
          <w:bCs/>
          <w:sz w:val="28"/>
          <w:szCs w:val="28"/>
          <w:lang w:val="en-US"/>
        </w:rPr>
        <w:t>com</w:t>
      </w:r>
      <w:r w:rsidRPr="000A3788">
        <w:rPr>
          <w:rFonts w:ascii="Times New Roman" w:eastAsia="Calibri" w:hAnsi="Times New Roman" w:cs="Times New Roman"/>
          <w:bCs/>
          <w:sz w:val="28"/>
          <w:szCs w:val="28"/>
        </w:rPr>
        <w:t>, Ювенільна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ідіопатична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 xml:space="preserve">склеродемія, </w:t>
      </w:r>
      <w:r w:rsidRPr="000A3788">
        <w:rPr>
          <w:rFonts w:ascii="Times New Roman" w:eastAsia="Calibri" w:hAnsi="Times New Roman" w:cs="Times New Roman"/>
          <w:bCs/>
          <w:sz w:val="28"/>
          <w:szCs w:val="28"/>
          <w:shd w:val="clear" w:color="auto" w:fill="FFFFFF"/>
        </w:rPr>
        <w:t>Марушко Т.В.,2019</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Times New Roman" w:hAnsi="Times New Roman" w:cs="Times New Roman"/>
          <w:sz w:val="28"/>
          <w:szCs w:val="28"/>
          <w:lang w:val="uk-UA" w:eastAsia="ru-RU"/>
        </w:rPr>
      </w:pPr>
      <w:r w:rsidRPr="000A3788">
        <w:rPr>
          <w:rFonts w:ascii="Times New Roman" w:eastAsia="Times New Roman" w:hAnsi="Times New Roman" w:cs="Times New Roman"/>
          <w:sz w:val="28"/>
          <w:szCs w:val="28"/>
          <w:lang w:eastAsia="ru-RU"/>
        </w:rPr>
        <w:t>Бельмер С.В., Хавкин А.И., Печкуров Д.В. Функциональные нарушения органов пищеварения у детей Принципы диагностики и лечения (в свете Римских критериев IV).- 2018</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 xml:space="preserve">.Журнал “Здоровье ребенка” . Функциональная абдоминальная боль у детей . Шутова Е.В., Белоусова О.Ю., Павленко Н.В., Савицкая Е.В. Харьковская медицинская академия последипломного образования, г. Харьков, Украина,2019 </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The Management of Paediatric Functional Abdominal Pain Disorders: Latest Evidence</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lang w:val="en-US"/>
        </w:rPr>
        <w:t>Andrea</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lang w:val="en-US"/>
        </w:rPr>
        <w:t>Brusaferro, Edoardo</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lang w:val="en-US"/>
        </w:rPr>
        <w:t>Farinelli, Letizia Zenzeri, Rita Cozzali, Susanna Esposito Paediatr Drugs. 2018; 20(3): 235–247. Published online 2018 Mar 2. doi: 10.1007/s40272-018-0287-z</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lang w:val="en-US"/>
        </w:rPr>
      </w:pPr>
      <w:r w:rsidRPr="000A3788">
        <w:rPr>
          <w:rFonts w:ascii="Times New Roman" w:eastAsia="Calibri" w:hAnsi="Times New Roman" w:cs="Times New Roman"/>
          <w:bCs/>
          <w:sz w:val="28"/>
          <w:szCs w:val="28"/>
        </w:rPr>
        <w:t>Псевдоабдомінальний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синдром</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у</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практиці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лікаря</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загальної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практики</w:t>
      </w:r>
      <w:r w:rsidRPr="000A3788">
        <w:rPr>
          <w:rFonts w:ascii="Times New Roman" w:eastAsia="Calibri" w:hAnsi="Times New Roman" w:cs="Times New Roman"/>
          <w:bCs/>
          <w:sz w:val="28"/>
          <w:szCs w:val="28"/>
          <w:lang w:val="en-US"/>
        </w:rPr>
        <w:t xml:space="preserve"> – </w:t>
      </w:r>
      <w:r w:rsidRPr="000A3788">
        <w:rPr>
          <w:rFonts w:ascii="Times New Roman" w:eastAsia="Calibri" w:hAnsi="Times New Roman" w:cs="Times New Roman"/>
          <w:bCs/>
          <w:sz w:val="28"/>
          <w:szCs w:val="28"/>
        </w:rPr>
        <w:t>сімейної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медицини</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Л</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С</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Бабінець</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Б</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О</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Мігенько</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Н</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І</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Корильчук</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Н</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Є</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Боцюк</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Л</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М</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Мігенько</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Є</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М</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Стародуб</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О</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Р</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Ясній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ДВНЗ</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Тернопільський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державний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медичний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університет</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ім</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І</w:t>
      </w:r>
      <w:r w:rsidRPr="000A3788">
        <w:rPr>
          <w:rFonts w:ascii="Times New Roman" w:eastAsia="Calibri" w:hAnsi="Times New Roman" w:cs="Times New Roman"/>
          <w:bCs/>
          <w:sz w:val="28"/>
          <w:szCs w:val="28"/>
          <w:lang w:val="en-US"/>
        </w:rPr>
        <w:t>.</w:t>
      </w:r>
      <w:r w:rsidRPr="000A3788">
        <w:rPr>
          <w:rFonts w:ascii="Times New Roman" w:eastAsia="Calibri" w:hAnsi="Times New Roman" w:cs="Times New Roman"/>
          <w:bCs/>
          <w:sz w:val="28"/>
          <w:szCs w:val="28"/>
        </w:rPr>
        <w:t>Я</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Горбачевського</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МОЗ</w:t>
      </w:r>
      <w:r w:rsidRPr="000A3788">
        <w:rPr>
          <w:rFonts w:ascii="Times New Roman" w:eastAsia="Calibri" w:hAnsi="Times New Roman" w:cs="Times New Roman"/>
          <w:bCs/>
          <w:sz w:val="28"/>
          <w:szCs w:val="28"/>
          <w:lang w:val="en-US"/>
        </w:rPr>
        <w:t xml:space="preserve"> </w:t>
      </w:r>
      <w:r w:rsidRPr="000A3788">
        <w:rPr>
          <w:rFonts w:ascii="Times New Roman" w:eastAsia="Calibri" w:hAnsi="Times New Roman" w:cs="Times New Roman"/>
          <w:bCs/>
          <w:sz w:val="28"/>
          <w:szCs w:val="28"/>
        </w:rPr>
        <w:t>України</w:t>
      </w:r>
      <w:r w:rsidRPr="000A3788">
        <w:rPr>
          <w:rFonts w:ascii="Times New Roman" w:eastAsia="Calibri" w:hAnsi="Times New Roman" w:cs="Times New Roman"/>
          <w:bCs/>
          <w:sz w:val="28"/>
          <w:szCs w:val="28"/>
          <w:lang w:val="en-US"/>
        </w:rPr>
        <w:t>» - 2018.</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lastRenderedPageBreak/>
        <w:t>Педіатрія. Диференційна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діагностика, невідкладні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стани. Навчальний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посібник /За редакцією проф. М. Л. Аряєва, проф. Н. В. Котової/</w:t>
      </w:r>
      <w:r w:rsidRPr="000A3788">
        <w:rPr>
          <w:rFonts w:ascii="Times New Roman" w:eastAsia="Calibri" w:hAnsi="Times New Roman" w:cs="Times New Roman"/>
          <w:bCs/>
          <w:sz w:val="28"/>
          <w:szCs w:val="28"/>
          <w:lang w:val="en-US"/>
        </w:rPr>
        <w:t>O</w:t>
      </w:r>
      <w:r w:rsidRPr="000A3788">
        <w:rPr>
          <w:rFonts w:ascii="Times New Roman" w:eastAsia="Calibri" w:hAnsi="Times New Roman" w:cs="Times New Roman"/>
          <w:bCs/>
          <w:sz w:val="28"/>
          <w:szCs w:val="28"/>
        </w:rPr>
        <w:t>деса -2017.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В.В. Бережний, В.Г. Козачук, Вигодовування дітей першого року життя // «Здоров’я України», 2017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Ожиріння та надмірна</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маса</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тіла в дітей, критерії</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 xml:space="preserve">діагностики та статистика поширеності / І. Е. Заболотна, Л. В. Ященко // Клінічна та профілактична медицина. - 2019. - № 2. - С. 36-46. </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В.А. Гриб, В.І. Пашковський. Вірусні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енцефаліти: нові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можливості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 xml:space="preserve">діагностики та імунотерапії. Здоров'яУкраїни. </w:t>
      </w:r>
      <w:hyperlink r:id="rId12" w:history="1">
        <w:r w:rsidRPr="000A3788">
          <w:rPr>
            <w:rFonts w:ascii="Times New Roman" w:eastAsia="Calibri" w:hAnsi="Times New Roman" w:cs="Times New Roman"/>
            <w:bCs/>
            <w:sz w:val="28"/>
            <w:szCs w:val="28"/>
          </w:rPr>
          <w:t>Тематичний номер «Неврологія, Психіатрія, Психотерапія» № 2 (41), червень 2017 р.</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Настанова 00604. Менінгіт у дітей. • Настанови на засадах доказової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медицини. Створені DUODECIM MedicalPublications, Ltd., Дата останнього</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оновлення: 2017-05-11.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Псевдоабдомінальний синдром у практиці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лікаря</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загальної практики – сімейної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медицини Л.С. Бабінець, Б.О. Мігенько, Н.І. Корильчук, Н.Є. Боцюк, Л.М. Мігенько, Є.М. Стародуб, О.Р. Ясній ДВНЗ «Тернопільський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державний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медичний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університет</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ім. І.Я. Горбачевського МОЗ України» - 2018.</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Педіатрія. Диференційна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діагностика, невідкладні</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стани. Навчальний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посібник /За редакцією проф. М. Л. Аряєва, проф. Н. В. Котової/Oдеса -2017.</w:t>
      </w:r>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lang w:val="uk-UA"/>
        </w:rPr>
      </w:pPr>
      <w:hyperlink r:id="rId13" w:history="1">
        <w:r w:rsidR="000A3788" w:rsidRPr="000A3788">
          <w:rPr>
            <w:rFonts w:ascii="Times New Roman" w:eastAsia="Calibri" w:hAnsi="Times New Roman" w:cs="Times New Roman"/>
            <w:bCs/>
            <w:sz w:val="28"/>
            <w:szCs w:val="28"/>
            <w:lang w:val="uk-UA"/>
          </w:rPr>
          <w:t>Тематичний номер «Педіатрія» №4 (47), грудень 2018 р.</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bCs/>
          <w:sz w:val="28"/>
          <w:szCs w:val="28"/>
          <w:lang w:val="uk-UA"/>
        </w:rPr>
      </w:pPr>
      <w:r w:rsidRPr="000A3788">
        <w:rPr>
          <w:rFonts w:ascii="Times New Roman" w:eastAsia="Calibri" w:hAnsi="Times New Roman" w:cs="Times New Roman"/>
          <w:bCs/>
          <w:sz w:val="28"/>
          <w:szCs w:val="28"/>
          <w:lang w:val="uk-UA"/>
        </w:rPr>
        <w:t>«Сучасне обличчя целіакії. Що повинен знати інтерніст?» - 2018 -  Н.Р.</w:t>
      </w:r>
      <w:r w:rsidRPr="000A3788">
        <w:rPr>
          <w:rFonts w:ascii="Times New Roman" w:eastAsia="Calibri" w:hAnsi="Times New Roman" w:cs="Times New Roman"/>
          <w:bCs/>
          <w:sz w:val="28"/>
          <w:szCs w:val="28"/>
        </w:rPr>
        <w:t> </w:t>
      </w:r>
      <w:r w:rsidRPr="000A3788">
        <w:rPr>
          <w:rFonts w:ascii="Times New Roman" w:eastAsia="Calibri" w:hAnsi="Times New Roman" w:cs="Times New Roman"/>
          <w:bCs/>
          <w:sz w:val="28"/>
          <w:szCs w:val="28"/>
          <w:lang w:val="uk-UA"/>
        </w:rPr>
        <w:t>Матковська, Л.В. Глушко, Т.Ю. Гавриш, Н.М. Волошинович, Л.М. Скрипник, У.І.</w:t>
      </w:r>
      <w:r w:rsidRPr="000A3788">
        <w:rPr>
          <w:rFonts w:ascii="Times New Roman" w:eastAsia="Calibri" w:hAnsi="Times New Roman" w:cs="Times New Roman"/>
          <w:bCs/>
          <w:sz w:val="28"/>
          <w:szCs w:val="28"/>
        </w:rPr>
        <w:t> </w:t>
      </w:r>
      <w:r w:rsidRPr="000A3788">
        <w:rPr>
          <w:rFonts w:ascii="Times New Roman" w:eastAsia="Calibri" w:hAnsi="Times New Roman" w:cs="Times New Roman"/>
          <w:bCs/>
          <w:sz w:val="28"/>
          <w:szCs w:val="28"/>
          <w:lang w:val="uk-UA"/>
        </w:rPr>
        <w:t>Маслій -/Івано-Франківський національний медичний університет</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uk-UA"/>
        </w:rPr>
        <w:t xml:space="preserve">Няньковський С.Л., Няньковська О.С., Троцький Г.М., Камуть Н.В. «Харчова алергія на білок коров’ячого молока чи непереносимість лактози? </w:t>
      </w:r>
      <w:r w:rsidRPr="000A3788">
        <w:rPr>
          <w:rFonts w:ascii="Times New Roman" w:eastAsia="Calibri" w:hAnsi="Times New Roman" w:cs="Times New Roman"/>
          <w:sz w:val="28"/>
          <w:szCs w:val="28"/>
        </w:rPr>
        <w:t>Принципи диференціальної діагностики й дієтотерапії» / Медичний журнал «Здоров’я дитини» - 2019</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Гузій О.В. Синдром хронічної діареї у дітей: новітні підходи в діагностиці та лікуванні // Український медичний часопис. - 2018. - № 1(2). - С. 22-26.</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uk-UA"/>
        </w:rPr>
        <w:t xml:space="preserve">Свінціцький А.С,, Гаєвські П. Внутрішні хвороби. </w:t>
      </w:r>
      <w:r w:rsidRPr="000A3788">
        <w:rPr>
          <w:rFonts w:ascii="Times New Roman" w:eastAsia="Calibri" w:hAnsi="Times New Roman" w:cs="Times New Roman"/>
          <w:sz w:val="28"/>
          <w:szCs w:val="28"/>
        </w:rPr>
        <w:t xml:space="preserve">Підручник, заснований на принципах доказовоїмедицини // Практична Медицина. - 2018/19. </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Основи педіатрії за Нельсоном, 2019р., Карен Дж. Маркданте, Роберт М. Клігман; переклад 8-го англ. Видання</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lastRenderedPageBreak/>
        <w:t>Гістологічна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будова</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органів</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ротової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порожнини. Загальн</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іпринципи</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структурної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організації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слизової</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оболонки</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порожнини рота: навч. посіб. / Н. Б. Гринцова, Л. В. Васько, Л. І. Кіптенко, О. М. Гортинська. – Суми: Сумський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державний</w:t>
      </w:r>
      <w:r w:rsidRPr="000A3788">
        <w:rPr>
          <w:rFonts w:ascii="Times New Roman" w:eastAsia="Calibri" w:hAnsi="Times New Roman" w:cs="Times New Roman"/>
          <w:bCs/>
          <w:sz w:val="28"/>
          <w:szCs w:val="28"/>
          <w:lang w:val="uk-UA"/>
        </w:rPr>
        <w:t xml:space="preserve"> </w:t>
      </w:r>
      <w:r w:rsidRPr="000A3788">
        <w:rPr>
          <w:rFonts w:ascii="Times New Roman" w:eastAsia="Calibri" w:hAnsi="Times New Roman" w:cs="Times New Roman"/>
          <w:bCs/>
          <w:sz w:val="28"/>
          <w:szCs w:val="28"/>
        </w:rPr>
        <w:t xml:space="preserve">університет, 2017. – 58 c. </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Знаменська Т.К., Воробйова О.В. Функціональний закреп у дітей</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раннього</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віку: сучасний стан проблеми на підставідоказів. НЕОНАТОЛОГІЯ, ХІРУРГІЯ ТА ПЕРИНАТАЛЬНА МЕДИЦИНА Т. VІІ, № 3(25), 2017. УДК 616.34-008.14/.15-036-07-08 DOI: 10.24061/2413-4260.VII.3.25.2017.16</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Єсипова С.І. , Дмитришин Б.Я., Бовкун О.А., Дмитришин О.А. Педіатричні критерії Риму IV: зміни та порівняння з Римськими критеріями ІІІ // Сімейна медицина. - 2018. - № 1. - С. 20-23.</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bCs/>
          <w:sz w:val="28"/>
          <w:szCs w:val="28"/>
        </w:rPr>
      </w:pPr>
      <w:r w:rsidRPr="000A3788">
        <w:rPr>
          <w:rFonts w:ascii="Times New Roman" w:eastAsia="Calibri" w:hAnsi="Times New Roman" w:cs="Times New Roman"/>
          <w:bCs/>
          <w:sz w:val="28"/>
          <w:szCs w:val="28"/>
        </w:rPr>
        <w:t>Строкова О.А., Еремина Е.Ю. ЭМЕТИЧЕСКИЙ СИНДРОМ (РВОТА): ПРИНЦИПЫ ДИАГНОСТИКИ И ЛЕЧЕНИЯ // Экспериментальная и клиническаягастроэнтерология. - 2018. - (6). - C. 116-121.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eastAsia="ru-RU"/>
        </w:rPr>
        <w:t>Лук’яненко О.Ю., Пантелєєва Т.І. «Дисфункціябіліарного тракту в дітей: традиційні підходи й нові постулати»/</w:t>
      </w:r>
      <w:r w:rsidRPr="000A3788">
        <w:rPr>
          <w:rFonts w:ascii="Times New Roman" w:eastAsia="Calibri" w:hAnsi="Times New Roman" w:cs="Times New Roman"/>
          <w:caps/>
          <w:kern w:val="36"/>
          <w:sz w:val="28"/>
          <w:szCs w:val="28"/>
          <w:lang w:eastAsia="ru-RU"/>
        </w:rPr>
        <w:t xml:space="preserve"> ЖУРНАЛ "ГАСТРОЭНТЕРОЛОГИЯ" ТОМ 51, №3, 2017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Дифтерия у детей. Клинические</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протоколы МЗ Республики Казахстан. Протокол №24 от 29.06.2017 года.</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Лысенко ИМ, редактор. Неотложная</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помощь в педиатрии. Пособие</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Витебск: ВГМУ;2018. 299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Менингококковая</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инфекция у детей. Клинические протоколы МЗ Республіки Казакхстан. Протокол №74 от 03.10.2019 года.</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№1269 від 05.06.2019 року. Екстрена медична допомога: догоспітальний етап. Новий клінічний протокол.</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 1269 від 05.06.2019 року. Екстрена медична допомога: догоспітальний етап. Новий клінічний протокол.</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00029. Правець,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2018-05-17.</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00341. Екстрена медична допомога на догоспітальному етапі,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2017-05-11.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(00366) Черепно-мозкова травма,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2017-05-11.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lastRenderedPageBreak/>
        <w:t>Настанова 00536. Аномальні менструальні кровотечі,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00612. Утруднене дихання у дітей,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00613. Ведення дітей з гострою експіраторною обструкцією дихальних шляхів та загостренням бронхіальної астми, на засадах доказової медицини адаптована для України групою експертів МОЗ України DUODECIM Medical</w:t>
      </w:r>
      <w:r w:rsidRPr="000A3788">
        <w:rPr>
          <w:rFonts w:ascii="Times New Roman" w:eastAsia="Calibri" w:hAnsi="Times New Roman" w:cs="Times New Roman"/>
          <w:sz w:val="28"/>
          <w:szCs w:val="28"/>
          <w:lang w:val="uk-UA"/>
        </w:rPr>
        <w:t xml:space="preserve"> </w:t>
      </w:r>
      <w:r w:rsidRPr="000A3788">
        <w:rPr>
          <w:rFonts w:ascii="Times New Roman" w:eastAsia="Calibri" w:hAnsi="Times New Roman" w:cs="Times New Roman"/>
          <w:sz w:val="28"/>
          <w:szCs w:val="28"/>
        </w:rPr>
        <w:t>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00663. Рани та садна у дітей, на засадах доказової медицини адаптована для України групою експертів МОЗ України DUODECIM MedicalPublications,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00667. Переломи в дітей, на засадах доказової медицини адаптована для України групою експертів МОЗ України DUODECIM MedicalPublications,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00670. Травми внутрішніх органів у дітей, на засадах доказової медицини адаптована для України групою експертів МОЗ України DUODECIM MedicalPublications, Ltd. Дата останнього оновлення: 2017-05-11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Настанова (00947) Переломи ребер та тазу, на засадах доказової медицини адаптована для України групою експертів МОЗ України DUODECIM MedicalPublications, Ltd. Дата останнього оновлення: 2017-05-11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Столбняк. Клиническиепротоколы МЗ Республики Казахстан Протокол №22 от 12.05.2017.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Неонатологія: національний підручник: у 2 т. / За ред. професора Шунько Є.Є. – К., 2014, - Т. 1. – 960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Неонатологія: національний підручник: у 2 т. / За ред. професора Шунько Є.Є. – К., 2015, - Т. 2. – 640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Еталони практичних навичок в неонатології. Навчально-методичний посібник. Шунько Є.Є., Пясецька Н.М., Кончаковська Т.В. та ін.//К. 2011.-256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 xml:space="preserve">Особливості становлення та порушення постнатальної гемодинаміки у новонароджених дітей. Критичні вроджені вади серця: клінічні прояви, рання діагностика та сучасна тактика медичної допомоги./ Навч.посібник </w:t>
      </w:r>
      <w:r w:rsidRPr="000A3788">
        <w:rPr>
          <w:rFonts w:ascii="Times New Roman" w:eastAsia="Calibri" w:hAnsi="Times New Roman" w:cs="Times New Roman"/>
          <w:sz w:val="28"/>
          <w:szCs w:val="28"/>
        </w:rPr>
        <w:lastRenderedPageBreak/>
        <w:t>за ред. проф. Шунько Є.Є., Руденко Н.М., Пясецької Н.М. – К., «Рута».-2017.- 80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Пiдручник з реанiмацiї новонароджених, 7 видання / Амер. Кардiологiчна Асоцiацiя, Амер. Академiя Педiатрiї.-Львiв.- 2017.- 303с.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Maternal, Fetal and Neonatal Physiology E. Book (5th ed) / S.Blackburn – Elsevier Health Sciences/ - 2017.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Gomella’s Neonatology, Eight Edition. / T.L.Gomellas, M.D.Cunningham – McGraw-Hill Education. – 2020.</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Jayashree Ramasethu, Suna Seo MD,  MacDonald’s Atlas of Procedures in Neonatology, Sixth Edition, 2019. – 496 </w:t>
      </w:r>
      <w:r w:rsidRPr="000A3788">
        <w:rPr>
          <w:rFonts w:ascii="Times New Roman" w:eastAsia="Calibri" w:hAnsi="Times New Roman" w:cs="Times New Roman"/>
          <w:sz w:val="28"/>
          <w:szCs w:val="28"/>
        </w:rPr>
        <w:t>р</w:t>
      </w:r>
      <w:r w:rsidRPr="000A3788">
        <w:rPr>
          <w:rFonts w:ascii="Times New Roman" w:eastAsia="Calibri" w:hAnsi="Times New Roman" w:cs="Times New Roman"/>
          <w:sz w:val="28"/>
          <w:szCs w:val="28"/>
          <w:lang w:val="en-US"/>
        </w:rPr>
        <w:t>.</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Handbook of Neonatal Intensive Care: An Interprofessional Approach 9th Edition / Sandra Lee Gardner, Brian S. Carter, Mary I Enzman-Hines, Susan Niermeyer. </w:t>
      </w:r>
      <w:r w:rsidRPr="000A3788">
        <w:rPr>
          <w:rFonts w:ascii="Times New Roman" w:eastAsia="Calibri" w:hAnsi="Times New Roman" w:cs="Times New Roman"/>
          <w:sz w:val="28"/>
          <w:szCs w:val="28"/>
        </w:rPr>
        <w:t>Merenstein &amp; Gardner's, 2021. – 1008 p.</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Clinical Guidelines in Neonatology. / L.Jain – McGraw-Hill Education, 2019. </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Дитяча імунологія: підручник / Л.І. Чернишова, А.П. Волоха, Л.В. Костюченко та ін.; за ред. проф. Л.І. Чернишової, А.П. Волохи. – К.: ВСВ «Медицина», 2013. – 720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Інфекційні хвороби у дітей : підручник / Л.І. Чернишова, А.П. Волоха, А.В. Бондаренко та ін.; за ред. Л.І. Чернишової. – К.: ВСВ «Медицина». 2016. – 1016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Імунопрофілактика інфекційних хвороб : навч.-метод. посіб. / Л.І. Чернишова, Ф.І. Лапій, А.В. Волоха та ін.; за ред. Л.І. Чернишової, Ф.І. Лапія, А.П. Волохи. – К.: «Агат Прінт», 2020. – 304 с.</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Вакцинація пацієнтів з первинними імунодефіцитами. Методичні рекомендації. 2020</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від 16 вересня 2011 року № 595 (у редакції наказу МОЗ України від 11 серпня 2014 року № 551 «Про удосконалення проведення профілактичних щеплень в Україні».)</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від 18.05.2018 № 947 «Про внесення змін до Календаря профілактичних щеплень в Україні».</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від 23.04.2019 № 958 «Про внесення змін до Календаря профілактичних щеплень в Україні».</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від 11.10.2019 № 2070 «Про внесення змін до Календаря профілактичних щеплень в Україні та Переліку медичних протипоказань до проведення профілактичних щеплень».</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№355 від 09.07.2004 р. “Про затвердження Протоколів лікування дітей за спеціальністю “Дитяча імунологія”</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Допоміжна література</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lastRenderedPageBreak/>
        <w:t>Наказ МОЗ України від 31.12.2009 №1086 "Про затвердження форми первинної облікової документації № 063-2/о «Інформована згода та оцінка стану здоров’я особи або дитини одним з батьків або іншим законним представником дитини на проведення щеплення або туберкулінодіагностики» та Інструкції щодо її заповнення».</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Наказ МОЗ України від 31.12.2009 № 1095 «Примірне положення про Кабінет щеплень».</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Бондаренко АВ, Чернишова ЛІ, Гільфанова АМ, Ніконець ЛД, Шарапова СО. Аутоімунний полігландулярний синдром І типу як первинний імунодефіцит: спектр клінічних проявів. Современная педиатрия. 2017; 3:</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Бондаренко АВ, Чернишова ЛІ, Костюченко ЛВ, Гільфанова АМ, Рабош ЛВ. Мікози у структурі інфекційного синдрому при первинних імунодефіцитах. Современная педиатрия. 2015; 4(68):96-102.</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Бондаренко АВ. Наслідки первинних імунодефіцитів антитілоутворення в залежності від строків діагностики. Збірник наукових праць співробітників НУОЗ імені П.Л. Шупика. 2015; 24(3):180-5.</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Бондаренко АВ, Чернышова ЛИ, Волоха АП, Костюченко ЛВ, Степановский ЮС. Молекулярно-генетическая характеристика первичных иммунодефицитов в Украине. Гематология. Трансфузиология. Восточная Европа. 2016; 1:13-23.</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Волоха АП, Бондаренко АВ, Чернишова ЛІ, Костюченко ЛВ. Аутоімунні захворювання при первинних дефіцитах антитілоутворення у дітей. Современная педиатрия. 2018; 2(90):9-13.</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Волоха АП. Епштейн-Барр вірусна інфекція у дітей. Современная педиатрия, 2015; 4(68):103-10.</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Волоха АП. Первинні дефіцити антитілоутворення у дітей – сучасні підходи до діагностики та лікування. Современная педиатрия. 2015; 6(70).</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Волоха АП, Чернишова ЛІ. Транзиторна гіпогаммаглобулінемія у дітей. Педіатрія, акушерство та гінекологія. 2007; 6:12-16.</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Волоха АП. Особливості імунного статусу у дітей з первинними дефіцитами антитіло утворення. Перинатология и педиатрия. 2008; 1(33):135-139.</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Чернишов ВП, Стамболі ЛВ, Осипчук ДВ, Чернишова ЛІ, Донськой БЄ. Лабораторна діагностика хронічної гранульоматозної хвороби: порівняння двох методів. Експериментальна та клінічна фізіологія і біохімія. 2016; 2:77-83.</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Krivan G, Chernyshova L, Kostyuchenko L,  Lange A, Nyul Z, Bernatowska E. A Multicentre Study on the Efficacy, Safety and Pharmacokinetics of IqYmune®, a Highly Purified 10% Liquid Intravenous Immunoglobulin, in </w:t>
      </w:r>
      <w:r w:rsidRPr="000A3788">
        <w:rPr>
          <w:rFonts w:ascii="Times New Roman" w:eastAsia="Calibri" w:hAnsi="Times New Roman" w:cs="Times New Roman"/>
          <w:sz w:val="28"/>
          <w:szCs w:val="28"/>
          <w:lang w:val="en-US"/>
        </w:rPr>
        <w:lastRenderedPageBreak/>
        <w:t xml:space="preserve">Patients with Primary  Immune Deficiency. </w:t>
      </w:r>
      <w:r w:rsidRPr="000A3788">
        <w:rPr>
          <w:rFonts w:ascii="Times New Roman" w:eastAsia="Calibri" w:hAnsi="Times New Roman" w:cs="Times New Roman"/>
          <w:sz w:val="28"/>
          <w:szCs w:val="28"/>
        </w:rPr>
        <w:t>J Clin Immunol. 2017; 37:539–547.</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Sharapova S, Guryanova </w:t>
      </w:r>
      <w:r w:rsidRPr="000A3788">
        <w:rPr>
          <w:rFonts w:ascii="Times New Roman" w:eastAsia="Calibri" w:hAnsi="Times New Roman" w:cs="Times New Roman"/>
          <w:sz w:val="28"/>
          <w:szCs w:val="28"/>
        </w:rPr>
        <w:t>І</w:t>
      </w:r>
      <w:r w:rsidRPr="000A3788">
        <w:rPr>
          <w:rFonts w:ascii="Times New Roman" w:eastAsia="Calibri" w:hAnsi="Times New Roman" w:cs="Times New Roman"/>
          <w:sz w:val="28"/>
          <w:szCs w:val="28"/>
          <w:lang w:val="en-US"/>
        </w:rPr>
        <w:t xml:space="preserve">, Pashchenko </w:t>
      </w:r>
      <w:r w:rsidRPr="000A3788">
        <w:rPr>
          <w:rFonts w:ascii="Times New Roman" w:eastAsia="Calibri" w:hAnsi="Times New Roman" w:cs="Times New Roman"/>
          <w:sz w:val="28"/>
          <w:szCs w:val="28"/>
        </w:rPr>
        <w:t>О</w:t>
      </w:r>
      <w:r w:rsidRPr="000A3788">
        <w:rPr>
          <w:rFonts w:ascii="Times New Roman" w:eastAsia="Calibri" w:hAnsi="Times New Roman" w:cs="Times New Roman"/>
          <w:sz w:val="28"/>
          <w:szCs w:val="28"/>
          <w:lang w:val="en-US"/>
        </w:rPr>
        <w:t>, Bondarenko A, Chernyshova L, Belevtsev M, Minakovskaya N, Aleinikova O, et al. Molecular characteristics, clinical and immunologic manifestations of 11 children with Omenn syndrome in East Slavs (Russia, Belarus, Ukraine). Clinical Immunology. 2016; 36(1):46-55.</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Glasmacher JS, Bittner TC, Bondarenko A, Candotti F, Cattoni A, Chernyshova L, et al. Wiskott-Aldrich Syndrome: A Retrospective Study on 575 Patients Analyzing the Impact of Splenectomy, Stem Cell Transplantation, or No Definitive Treatment on Frequency of Disease-Related Complications and Physician-Perceived Quality of Life. Blood. 2016; 128(22):366.</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Conti SO, Lugo-Reyes LB, Galicia J, Bondarenko A, Chernyshova L, et al. Mycobacterial disease in patients with chronic granulomatous disease: A retrospective analysis of 71 cases. Journal of Allergy and Clinical Immunology. 2016; 2(28).</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Toubiana J, Okada S, Hiller J, Bondarenko A, Chernyshova L, et al. Heterozygous STAT1 gain-of-function mutations underlie an unexpectedly broad clinical phenotype: an international survey of 274 patients from 167 kindreds. Blood. 2016; 1.</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Canadian Immunization Guide: http://www.phac-aspc.gc.ca/publicat/cig-gci/index-eng.php</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Guidance (UK): Immunisation against infectious disease: the green book front cover and contents page https://www.gov.uk/government/publications/immunisation-against-infectious-disease-the-green-book-front-cover-and-contents-page</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The Australian Immunisation Handbook 10th Edition: http://www.immunise.health.gov.au/internet/immunise/publishing.nsf/Content/Handbook10-home</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CDC. Epidemiology and Prevention of Vaccine-Preventable Diseases: http://www.cdc.gov/vaccines/pubs/pinkbook/index.html</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WHO. Vaccine Position Papers: http://www.who.int/immunization/documents/positionpapers/en</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Усачова ОВ, Пахольчук ТМ, Конакова ОВ, Сіліна ЄА. Диференційна діагностика менінгококової інфекції, менінгітів різної етіології у дітей: навч. посіб. для студентів 6 курсу І та ІІ медичних факультетів. Запоріжжя;2018.97 с.</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 xml:space="preserve">Сучасні проблеми лікування хелікобактер-асоційованих захворювань у дітей: можливості ад’ювантної терапії / О. Ю. Бєлоусова, Н. В. Павленко, </w:t>
      </w:r>
      <w:r w:rsidRPr="000A3788">
        <w:rPr>
          <w:rFonts w:ascii="Times New Roman" w:eastAsia="Calibri" w:hAnsi="Times New Roman" w:cs="Times New Roman"/>
          <w:sz w:val="28"/>
          <w:szCs w:val="28"/>
        </w:rPr>
        <w:lastRenderedPageBreak/>
        <w:t>К. В. Волошин, [та ін.] // Здоров’я дитини. – 2017. – Т. 12, № 2.1. – С. 239–248. – doi: 10.22141/2224-0551.12.2.1.2017.100987.</w:t>
      </w:r>
    </w:p>
    <w:p w:rsidR="000A3788" w:rsidRPr="000A3788" w:rsidRDefault="000A3788" w:rsidP="000A3788">
      <w:pPr>
        <w:numPr>
          <w:ilvl w:val="0"/>
          <w:numId w:val="24"/>
        </w:numPr>
        <w:autoSpaceDE w:val="0"/>
        <w:autoSpaceDN w:val="0"/>
        <w:adjustRightInd w:val="0"/>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«Feverish illness in children: assessment and initial management in children younger than 5 years» NICE Clinical Guidline (05.2013) (</w:t>
      </w:r>
      <w:hyperlink r:id="rId14" w:history="1">
        <w:r w:rsidRPr="000A3788">
          <w:rPr>
            <w:rFonts w:ascii="Times New Roman" w:eastAsia="Calibri" w:hAnsi="Times New Roman" w:cs="Times New Roman"/>
            <w:sz w:val="28"/>
            <w:szCs w:val="28"/>
            <w:lang w:val="en-US"/>
          </w:rPr>
          <w:t>https://www.nice.org.uk</w:t>
        </w:r>
      </w:hyperlink>
    </w:p>
    <w:p w:rsidR="000A3788" w:rsidRPr="000A3788" w:rsidRDefault="000A3788" w:rsidP="000A3788">
      <w:pPr>
        <w:numPr>
          <w:ilvl w:val="0"/>
          <w:numId w:val="24"/>
        </w:numPr>
        <w:autoSpaceDE w:val="0"/>
        <w:autoSpaceDN w:val="0"/>
        <w:adjustRightInd w:val="0"/>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/guidance /cg160/evidence/fullguidelinepdf189990976 копія з екранувід 19.12.17).</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Wang S. et.al. (2018).Targeting the gut microbiota to influence brain development and function in early life. Neuroscience &amp;BiobehavioralReviews, vol 95,pp.191-201.Availableat: </w:t>
      </w:r>
      <w:hyperlink r:id="rId15" w:history="1">
        <w:r w:rsidRPr="000A3788">
          <w:rPr>
            <w:rFonts w:ascii="Times New Roman" w:eastAsia="Calibri" w:hAnsi="Times New Roman" w:cs="Times New Roman"/>
            <w:sz w:val="28"/>
            <w:szCs w:val="28"/>
            <w:lang w:val="en-US"/>
          </w:rPr>
          <w:t>https://doi.org/10.1016/j.neubiorev.2018.09.002</w:t>
        </w:r>
      </w:hyperlink>
      <w:r w:rsidRPr="000A3788">
        <w:rPr>
          <w:rFonts w:ascii="Times New Roman" w:eastAsia="Calibri" w:hAnsi="Times New Roman" w:cs="Times New Roman"/>
          <w:sz w:val="28"/>
          <w:szCs w:val="28"/>
          <w:lang w:val="en-US"/>
        </w:rPr>
        <w:t xml:space="preserve"> (accessedDecember  2018)</w:t>
      </w:r>
    </w:p>
    <w:p w:rsidR="000A3788" w:rsidRPr="000A3788" w:rsidRDefault="000A3788" w:rsidP="000A3788">
      <w:pPr>
        <w:numPr>
          <w:ilvl w:val="0"/>
          <w:numId w:val="24"/>
        </w:numPr>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Hariz A, Bhattacharya PT. Megaloblastic Anemia. StatPearls. 2019 Jan.    </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Wolffenbuttel BHR, Wouters HJCM, Heiner-Fokkema MR, vanderKlauw MM. </w:t>
      </w:r>
      <w:r w:rsidRPr="000A3788">
        <w:rPr>
          <w:rFonts w:ascii="Times New Roman" w:eastAsia="Calibri" w:hAnsi="Times New Roman" w:cs="Times New Roman"/>
          <w:sz w:val="28"/>
          <w:szCs w:val="28"/>
        </w:rPr>
        <w:t xml:space="preserve">TheManyFacesofCobalamin (Vitamin B12) Deficiency. MayoClinProcInnovQualOutcomes. 2019 Jun. 3 (2):200-14.    </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Baumann R.J., Kao A., Talavera F. et al. (2018) Pediatric Febrile Seizures Guidelines. Medscape, Nov 9.</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Treatment of Helicobacter pylori Infection. William D. Chey, MD, FACG. February 2017. Am J Gastroenterology 2017; 112: 212–238; doi:10.1038/ajg.2016.563; </w:t>
      </w:r>
      <w:hyperlink r:id="rId16" w:history="1">
        <w:r w:rsidRPr="000A3788">
          <w:rPr>
            <w:rFonts w:ascii="Times New Roman" w:eastAsia="Calibri" w:hAnsi="Times New Roman" w:cs="Times New Roman"/>
            <w:sz w:val="28"/>
            <w:szCs w:val="28"/>
            <w:lang w:val="en-US"/>
          </w:rPr>
          <w:t>https://gi.org/guideline/treatment-of-helicobacter-pylori-infection//</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Paediatric Gastrointestinal Endoscopy: European Society for Paediatric Gastroenterology Hepatology and Nutrition and European Society of Gastrointestinal Endoscopy Guidelines. ESPGHAN guidelines. Journal of Pediatric Gastroenterology and Nutrition Thomson, Mike, Tringali, Andrea, Dumonceau, Jean-Marc, Tavares, Marta. 2017 </w:t>
      </w:r>
      <w:hyperlink r:id="rId17" w:history="1">
        <w:r w:rsidRPr="000A3788">
          <w:rPr>
            <w:rFonts w:ascii="Times New Roman" w:eastAsia="Calibri" w:hAnsi="Times New Roman" w:cs="Times New Roman"/>
            <w:sz w:val="28"/>
            <w:szCs w:val="28"/>
            <w:lang w:val="en-US"/>
          </w:rPr>
          <w:t>https://journals.lww.com/jpgn/Fulltext/2017/01000/Paediatric_Gastrointestinal_Endoscopy___European.22.aspx</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F. Gomollón, A. Dignass, V. Annese, H. Tilg, G. V. Assche, James O. Lindsay, L. Biroulet, Paolo Gionchetti, on behalf of ECCO; 3rd European Evidence-based Consensus on the Diagnosis and Management of Crohn’s Disease 2016: Part 1: Diagnosis and Medical Management, Journal of Crohn's and Colitis, Volume 11, Issue 1, 1 January 2017, Pages 3–25, </w:t>
      </w:r>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hyperlink r:id="rId18" w:history="1">
        <w:r w:rsidR="000A3788" w:rsidRPr="000A3788">
          <w:rPr>
            <w:rFonts w:ascii="Times New Roman" w:eastAsia="Calibri" w:hAnsi="Times New Roman" w:cs="Times New Roman"/>
            <w:sz w:val="28"/>
            <w:szCs w:val="28"/>
            <w:lang w:val="en-US"/>
          </w:rPr>
          <w:t>https://doi.org/10.1093/ecco-jcc/jjw168//</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Guidelines on eosinophilic esophagitis: evidence-based statements and recommendations for diagnosis and management in children and adults Alfredo J Lucendo, Javier Molina-Infante, Ángel Arias, Ulrike von Arnim, Albert J Bredenoord, Christian Bussmann, Jorge Amil Dias. United European </w:t>
      </w:r>
      <w:r w:rsidRPr="000A3788">
        <w:rPr>
          <w:rFonts w:ascii="Times New Roman" w:eastAsia="Calibri" w:hAnsi="Times New Roman" w:cs="Times New Roman"/>
          <w:sz w:val="28"/>
          <w:szCs w:val="28"/>
          <w:lang w:val="en-US"/>
        </w:rPr>
        <w:lastRenderedPageBreak/>
        <w:t xml:space="preserve">Gastroenterology Journal. Vol 5, Issue 3, pp. 335 – 358. January 23, 2017. </w:t>
      </w:r>
      <w:hyperlink r:id="rId19" w:history="1">
        <w:r w:rsidRPr="000A3788">
          <w:rPr>
            <w:rFonts w:ascii="Times New Roman" w:eastAsia="Calibri" w:hAnsi="Times New Roman" w:cs="Times New Roman"/>
            <w:sz w:val="28"/>
            <w:szCs w:val="28"/>
            <w:lang w:val="en-US"/>
          </w:rPr>
          <w:t>https://doi.org/10.1177/2050640616689525//</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WGO Global Guideline. Probiotics and prebiotics. Francisco Guarner, Mary Ellen Sanders, Rami Eliakim, Richard Fedorak, Alfred Gangl, James Garisch. </w:t>
      </w:r>
      <w:r w:rsidRPr="000A3788">
        <w:rPr>
          <w:rFonts w:ascii="Times New Roman" w:eastAsia="Calibri" w:hAnsi="Times New Roman" w:cs="Times New Roman"/>
          <w:sz w:val="28"/>
          <w:szCs w:val="28"/>
        </w:rPr>
        <w:t>World Gastroenterology Organisation, 2017.</w:t>
      </w:r>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uk-UA"/>
        </w:rPr>
      </w:pPr>
      <w:hyperlink r:id="rId20" w:history="1">
        <w:r w:rsidR="000A3788" w:rsidRPr="000A3788">
          <w:rPr>
            <w:rFonts w:ascii="Times New Roman" w:eastAsia="Calibri" w:hAnsi="Times New Roman" w:cs="Times New Roman"/>
            <w:sz w:val="28"/>
            <w:szCs w:val="28"/>
          </w:rPr>
          <w:t>http</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www</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worldgastroenterology</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org</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guidelines</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global</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guidelines</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probiotics</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and</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prebiotics</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utm</w:t>
        </w:r>
        <w:r w:rsidR="000A3788" w:rsidRPr="000A3788">
          <w:rPr>
            <w:rFonts w:ascii="Times New Roman" w:eastAsia="Calibri" w:hAnsi="Times New Roman" w:cs="Times New Roman"/>
            <w:sz w:val="28"/>
            <w:szCs w:val="28"/>
            <w:lang w:val="uk-UA"/>
          </w:rPr>
          <w:t>_</w:t>
        </w:r>
        <w:r w:rsidR="000A3788" w:rsidRPr="000A3788">
          <w:rPr>
            <w:rFonts w:ascii="Times New Roman" w:eastAsia="Calibri" w:hAnsi="Times New Roman" w:cs="Times New Roman"/>
            <w:sz w:val="28"/>
            <w:szCs w:val="28"/>
          </w:rPr>
          <w:t>source</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UEG</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Website</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E</w:t>
        </w:r>
        <w:r w:rsidR="000A3788" w:rsidRPr="000A3788">
          <w:rPr>
            <w:rFonts w:ascii="Times New Roman" w:eastAsia="Calibri" w:hAnsi="Times New Roman" w:cs="Times New Roman"/>
            <w:sz w:val="28"/>
            <w:szCs w:val="28"/>
            <w:lang w:val="uk-UA"/>
          </w:rPr>
          <w:t>2%80%93%20</w:t>
        </w:r>
        <w:r w:rsidR="000A3788" w:rsidRPr="000A3788">
          <w:rPr>
            <w:rFonts w:ascii="Times New Roman" w:eastAsia="Calibri" w:hAnsi="Times New Roman" w:cs="Times New Roman"/>
            <w:sz w:val="28"/>
            <w:szCs w:val="28"/>
          </w:rPr>
          <w:t>Other</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Guidelines</w:t>
        </w:r>
        <w:r w:rsidR="000A3788" w:rsidRPr="000A3788">
          <w:rPr>
            <w:rFonts w:ascii="Times New Roman" w:eastAsia="Calibri" w:hAnsi="Times New Roman" w:cs="Times New Roman"/>
            <w:sz w:val="28"/>
            <w:szCs w:val="28"/>
            <w:lang w:val="uk-UA"/>
          </w:rPr>
          <w:t>&amp;</w:t>
        </w:r>
        <w:r w:rsidR="000A3788" w:rsidRPr="000A3788">
          <w:rPr>
            <w:rFonts w:ascii="Times New Roman" w:eastAsia="Calibri" w:hAnsi="Times New Roman" w:cs="Times New Roman"/>
            <w:sz w:val="28"/>
            <w:szCs w:val="28"/>
          </w:rPr>
          <w:t>utm</w:t>
        </w:r>
        <w:r w:rsidR="000A3788" w:rsidRPr="000A3788">
          <w:rPr>
            <w:rFonts w:ascii="Times New Roman" w:eastAsia="Calibri" w:hAnsi="Times New Roman" w:cs="Times New Roman"/>
            <w:sz w:val="28"/>
            <w:szCs w:val="28"/>
            <w:lang w:val="uk-UA"/>
          </w:rPr>
          <w:t>_</w:t>
        </w:r>
        <w:r w:rsidR="000A3788" w:rsidRPr="000A3788">
          <w:rPr>
            <w:rFonts w:ascii="Times New Roman" w:eastAsia="Calibri" w:hAnsi="Times New Roman" w:cs="Times New Roman"/>
            <w:sz w:val="28"/>
            <w:szCs w:val="28"/>
          </w:rPr>
          <w:t>campaign</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UEG</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Other</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Guidelines</w:t>
        </w:r>
        <w:r w:rsidR="000A3788" w:rsidRPr="000A3788">
          <w:rPr>
            <w:rFonts w:ascii="Times New Roman" w:eastAsia="Calibri" w:hAnsi="Times New Roman" w:cs="Times New Roman"/>
            <w:sz w:val="28"/>
            <w:szCs w:val="28"/>
            <w:lang w:val="uk-UA"/>
          </w:rPr>
          <w:t>-</w:t>
        </w:r>
        <w:r w:rsidR="000A3788" w:rsidRPr="000A3788">
          <w:rPr>
            <w:rFonts w:ascii="Times New Roman" w:eastAsia="Calibri" w:hAnsi="Times New Roman" w:cs="Times New Roman"/>
            <w:sz w:val="28"/>
            <w:szCs w:val="28"/>
          </w:rPr>
          <w:t>Probiotics</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and</w:t>
        </w:r>
        <w:r w:rsidR="000A3788" w:rsidRPr="000A3788">
          <w:rPr>
            <w:rFonts w:ascii="Times New Roman" w:eastAsia="Calibri" w:hAnsi="Times New Roman" w:cs="Times New Roman"/>
            <w:sz w:val="28"/>
            <w:szCs w:val="28"/>
            <w:lang w:val="uk-UA"/>
          </w:rPr>
          <w:t>%20</w:t>
        </w:r>
        <w:r w:rsidR="000A3788" w:rsidRPr="000A3788">
          <w:rPr>
            <w:rFonts w:ascii="Times New Roman" w:eastAsia="Calibri" w:hAnsi="Times New Roman" w:cs="Times New Roman"/>
            <w:sz w:val="28"/>
            <w:szCs w:val="28"/>
          </w:rPr>
          <w:t>prebiotics</w:t>
        </w:r>
        <w:r w:rsidR="000A3788" w:rsidRPr="000A3788">
          <w:rPr>
            <w:rFonts w:ascii="Times New Roman" w:eastAsia="Calibri" w:hAnsi="Times New Roman" w:cs="Times New Roman"/>
            <w:sz w:val="28"/>
            <w:szCs w:val="28"/>
            <w:lang w:val="uk-UA"/>
          </w:rPr>
          <w:t>//</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Vos, M. B., Abrams, S. H., Barlow, S. E., Caprio, S., Daniels, S. R., Kohli, R., ... &amp; Xanthakos, S. A. (2017). NASPGHAN clinical practice guideline for the diagnosis and treatment of nonalcoholic fatty liver disease in children: recommendations from the Expert Committee on NAFLD (ECON) and the North American Society of Pediatric Gastroenterology, Hepatology and Nutrition (NASPGHAN). </w:t>
      </w:r>
      <w:r w:rsidRPr="000A3788">
        <w:rPr>
          <w:rFonts w:ascii="Times New Roman" w:eastAsia="Calibri" w:hAnsi="Times New Roman" w:cs="Times New Roman"/>
          <w:sz w:val="28"/>
          <w:szCs w:val="28"/>
        </w:rPr>
        <w:t>Journal of pediatric gastroenterology and nutrition, 64(2), 319-334</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Beigel JH, Tomashek KM, Dodd LE, et al. Remdesivir for the Treatment of Covid-19 - Preliminary Report. N Engl J Med 2020.</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Wang Y, Zhang D, Du G, et al. Remdesivir in adults with severe COVID-19: A randomised, double-blind, placebo-controlled, multicentre trial. Lancet 2020.</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Schillie S, Wester C, Osborne M, et al. CDC Recommendations for Hepatitis C Screening Among Adults - United States, 2020. MMWR Recomm Rep 2020; 69:1.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US Preventive Services Task Force, Owens DK, Davidson KW, et al. Screening for Hepatitis C Virus Infection in Adolescents and Adults: US Preventive Services Task Force Recommendation Statement. JAMA 2020.</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Brown PD, Gondi V, Pugh S, et al. Hippocampal Avoidance During Whole-Brain Radiotherapy Plus Memantine for Patients With Brain Metastases: Phase III Trial NRG Oncology CC001. J Clin Oncol 2020; 38:1019.</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Poeschel V, Held G, Ziepert M, et al. Four versus six cycles of CHOP chemotherapy in combination with six applications of rituximab in patients with aggressive B-cell lymphoma with favourable prognosis (FLYER): a randomised, phase 3, non-inferiority trial. </w:t>
      </w:r>
      <w:r w:rsidRPr="000A3788">
        <w:rPr>
          <w:rFonts w:ascii="Times New Roman" w:eastAsia="Calibri" w:hAnsi="Times New Roman" w:cs="Times New Roman"/>
          <w:sz w:val="28"/>
          <w:szCs w:val="28"/>
        </w:rPr>
        <w:t>Lancet 2020; 394:2271.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CRASH-3 trial collaborators. Effects of tranexamic acid on death, disability, vascular occlusive events and other morbidities in patients with acute traumatic brain injury (CRASH-3): a randomised, placebo-controlled trial. </w:t>
      </w:r>
      <w:r w:rsidRPr="000A3788">
        <w:rPr>
          <w:rFonts w:ascii="Times New Roman" w:eastAsia="Calibri" w:hAnsi="Times New Roman" w:cs="Times New Roman"/>
          <w:sz w:val="28"/>
          <w:szCs w:val="28"/>
        </w:rPr>
        <w:t>Lancet 2019; 394:1713.</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lastRenderedPageBreak/>
        <w:t>Heijerman HGM, McKone EF, Downey DG, et al. Efficacy and safety of the elexacaftor plus tezacaftor plus ivacaftor combination regimen in people with cystic fibrosis homozygous for the F508del mutation: a double-blind, randomised, phase 3 trial. Lancet 2019; 394:1940.</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Middleton PG, Mall MA, Dřevínek P, et al. Elexacaftor-Tezacaftor-Ivacaftor for Cystic Fibrosis with a Single Phe508del Allele. N Engl J Med 2019; 381:1809.</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Lonial S, Jacobus S, Fonseca R, et al. Randomized Trial of Lenalidomide Versus Observation in Smoldering Multiple Myeloma. J Clin Oncol 2020; 38:1126.</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McMurray JJV, Solomon SD, Inzucchi SE, et al. Dapagliflozin in Patients with Heart Failure and Reduced Ejection Fraction. N Engl J Med 2019; 381:1995.</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Prevention of Group B Streptococcal Early-Onset Disease in Newborns: ACOG Committee Opinion, Number 797. </w:t>
      </w:r>
      <w:r w:rsidRPr="000A3788">
        <w:rPr>
          <w:rFonts w:ascii="Times New Roman" w:eastAsia="Calibri" w:hAnsi="Times New Roman" w:cs="Times New Roman"/>
          <w:sz w:val="28"/>
          <w:szCs w:val="28"/>
        </w:rPr>
        <w:t>Obstet Gynecol 2020; 135:e51.</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Sosa LE, Njie GJ, Lobato MN, et al. Tuberculosis Screening, Testing, and Treatment of U.S. Health Care Personnel: Recommendations from the National Tuberculosis Controllers Association and CDC, 2019. MMWR Morb Mortal Wkly Rep 2019; 68:439. </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lang w:val="en-US"/>
        </w:rPr>
        <w:t xml:space="preserve">Zeitlin J, Egorova NN, Janevic T, et al. The Impact of Severe Maternal Morbidity on Very Preterm Infant Outcomes. </w:t>
      </w:r>
      <w:r w:rsidRPr="000A3788">
        <w:rPr>
          <w:rFonts w:ascii="Times New Roman" w:eastAsia="Calibri" w:hAnsi="Times New Roman" w:cs="Times New Roman"/>
          <w:sz w:val="28"/>
          <w:szCs w:val="28"/>
        </w:rPr>
        <w:t>J Pediatr 2019; 215:56.</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Shi H, Enriquez A, Rapadas M, et al. NAD Deficiency, Congenital Malformations, and Niacin Supplementation. N Engl J Med 2017; 377:544.</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Wang ME, Biondi EA, McCulloh RJ, et al. Testing for Meningitis in Febrile Well-Appearing Young Infants With a Positive Urinalysis. Pediatrics 2019; 144.</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Nugent J, Childers M, Singh-Miller N, et al. Risk of Meningitis in Infants Aged 29 to 90 Days with Urinary Tract Infection: A Systematic Review and Meta-Analysis. J Pediatr 2019; 212:102.</w:t>
      </w:r>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1" w:history="1">
        <w:r w:rsidR="000A3788" w:rsidRPr="000A3788">
          <w:rPr>
            <w:rFonts w:ascii="Times New Roman" w:eastAsia="Calibri" w:hAnsi="Times New Roman" w:cs="Times New Roman"/>
            <w:sz w:val="28"/>
            <w:szCs w:val="28"/>
          </w:rPr>
          <w:t>www.cochrane.org</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 xml:space="preserve"> </w:t>
      </w:r>
      <w:hyperlink r:id="rId22" w:history="1">
        <w:r w:rsidRPr="000A3788">
          <w:rPr>
            <w:rFonts w:ascii="Times New Roman" w:eastAsia="Calibri" w:hAnsi="Times New Roman" w:cs="Times New Roman"/>
            <w:sz w:val="28"/>
            <w:szCs w:val="28"/>
          </w:rPr>
          <w:t>www.medscape.com</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3" w:history="1">
        <w:r w:rsidR="000A3788" w:rsidRPr="000A3788">
          <w:rPr>
            <w:rFonts w:ascii="Times New Roman" w:eastAsia="Calibri" w:hAnsi="Times New Roman" w:cs="Times New Roman"/>
            <w:sz w:val="28"/>
            <w:szCs w:val="28"/>
          </w:rPr>
          <w:t>www.nejm.org</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4" w:history="1">
        <w:r w:rsidR="000A3788" w:rsidRPr="000A3788">
          <w:rPr>
            <w:rFonts w:ascii="Times New Roman" w:eastAsia="Calibri" w:hAnsi="Times New Roman" w:cs="Times New Roman"/>
            <w:sz w:val="28"/>
            <w:szCs w:val="28"/>
          </w:rPr>
          <w:t>www.obgyn.net</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5" w:history="1">
        <w:r w:rsidR="000A3788" w:rsidRPr="000A3788">
          <w:rPr>
            <w:rFonts w:ascii="Times New Roman" w:eastAsia="Calibri" w:hAnsi="Times New Roman" w:cs="Times New Roman"/>
            <w:sz w:val="28"/>
            <w:szCs w:val="28"/>
          </w:rPr>
          <w:t>http://aappolicy.aappublications.org/</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6" w:history="1">
        <w:r w:rsidR="000A3788" w:rsidRPr="000A3788">
          <w:rPr>
            <w:rFonts w:ascii="Times New Roman" w:eastAsia="Calibri" w:hAnsi="Times New Roman" w:cs="Times New Roman"/>
            <w:sz w:val="28"/>
            <w:szCs w:val="28"/>
          </w:rPr>
          <w:t>http://www.neonatology.org/</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7" w:history="1">
        <w:r w:rsidR="000A3788" w:rsidRPr="000A3788">
          <w:rPr>
            <w:rFonts w:ascii="Times New Roman" w:eastAsia="Calibri" w:hAnsi="Times New Roman" w:cs="Times New Roman"/>
            <w:sz w:val="28"/>
            <w:szCs w:val="28"/>
          </w:rPr>
          <w:t>http://www.uihealthcare.com/depts/med/pediatrics/iowaneonatologyhandbook/index.ht</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8" w:history="1">
        <w:r w:rsidR="000A3788" w:rsidRPr="000A3788">
          <w:rPr>
            <w:rFonts w:ascii="Times New Roman" w:eastAsia="Calibri" w:hAnsi="Times New Roman" w:cs="Times New Roman"/>
            <w:sz w:val="28"/>
            <w:szCs w:val="28"/>
          </w:rPr>
          <w:t>http://www.sign.ac.uk/guidelines/fulltext/50/index.html</w:t>
        </w:r>
      </w:hyperlink>
    </w:p>
    <w:p w:rsidR="000A3788" w:rsidRPr="000A3788" w:rsidRDefault="00005F9E"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hyperlink r:id="rId29" w:history="1">
        <w:r w:rsidR="000A3788" w:rsidRPr="000A3788">
          <w:rPr>
            <w:rFonts w:ascii="Times New Roman" w:eastAsia="Calibri" w:hAnsi="Times New Roman" w:cs="Times New Roman"/>
            <w:sz w:val="28"/>
            <w:szCs w:val="28"/>
          </w:rPr>
          <w:t>http://www.pedialink.org/pedialink/neopix/index2.cfm</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lastRenderedPageBreak/>
        <w:t xml:space="preserve">German Physicians Board “Beurteilungskriterien für Leitlinien in der Medizinischen Versorgung </w:t>
      </w:r>
      <w:hyperlink r:id="rId30" w:history="1">
        <w:r w:rsidRPr="000A3788">
          <w:rPr>
            <w:rFonts w:ascii="Times New Roman" w:eastAsia="Calibri" w:hAnsi="Times New Roman" w:cs="Times New Roman"/>
            <w:sz w:val="28"/>
            <w:szCs w:val="28"/>
            <w:lang w:val="en-US"/>
          </w:rPr>
          <w:t>http://www.uni-duesseldorf.de/AWMF/awmf-fr2.htm</w:t>
        </w:r>
      </w:hyperlink>
      <w:r w:rsidRPr="000A3788">
        <w:rPr>
          <w:rFonts w:ascii="Times New Roman" w:eastAsia="Calibri" w:hAnsi="Times New Roman" w:cs="Times New Roman"/>
          <w:sz w:val="28"/>
          <w:szCs w:val="28"/>
          <w:lang w:val="en-US"/>
        </w:rPr>
        <w:t xml:space="preserve">; </w:t>
      </w:r>
      <w:hyperlink r:id="rId31" w:history="1">
        <w:r w:rsidRPr="000A3788">
          <w:rPr>
            <w:rFonts w:ascii="Times New Roman" w:eastAsia="Calibri" w:hAnsi="Times New Roman" w:cs="Times New Roman"/>
            <w:sz w:val="28"/>
            <w:szCs w:val="28"/>
            <w:lang w:val="en-US"/>
          </w:rPr>
          <w:t>http://leitlinien.net/</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Calgary Regional Health Authority “Guideline Development Template” </w:t>
      </w:r>
      <w:hyperlink r:id="rId32" w:history="1">
        <w:r w:rsidRPr="000A3788">
          <w:rPr>
            <w:rFonts w:ascii="Times New Roman" w:eastAsia="Calibri" w:hAnsi="Times New Roman" w:cs="Times New Roman"/>
            <w:sz w:val="28"/>
            <w:szCs w:val="28"/>
            <w:lang w:val="en-US"/>
          </w:rPr>
          <w:t>http://www.crha-health.ab.ca/clin/cme/cpg/cpgdevproc.pdf</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New Zealand Guidelines Group </w:t>
      </w:r>
      <w:hyperlink r:id="rId33" w:history="1">
        <w:r w:rsidRPr="000A3788">
          <w:rPr>
            <w:rFonts w:ascii="Times New Roman" w:eastAsia="Calibri" w:hAnsi="Times New Roman" w:cs="Times New Roman"/>
            <w:sz w:val="28"/>
            <w:szCs w:val="28"/>
            <w:lang w:val="en-US"/>
          </w:rPr>
          <w:t>www.nzgg.org.nz/index.cfm?fuseaction=fuseaction_10&amp;fusesubaction=docs&amp;documentid=22</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University of Melbourne Guideline Development Group </w:t>
      </w:r>
      <w:hyperlink r:id="rId34" w:history="1">
        <w:r w:rsidRPr="000A3788">
          <w:rPr>
            <w:rFonts w:ascii="Times New Roman" w:eastAsia="Calibri" w:hAnsi="Times New Roman" w:cs="Times New Roman"/>
            <w:sz w:val="28"/>
            <w:szCs w:val="28"/>
            <w:lang w:val="en-US"/>
          </w:rPr>
          <w:t>http://www.rch.org.au/clinicalguide/index.cfm?doc_id=5033</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US National Guideline Clearinghouse™ (NGC) </w:t>
      </w:r>
      <w:hyperlink r:id="rId35" w:history="1">
        <w:r w:rsidRPr="000A3788">
          <w:rPr>
            <w:rFonts w:ascii="Times New Roman" w:eastAsia="Calibri" w:hAnsi="Times New Roman" w:cs="Times New Roman"/>
            <w:sz w:val="28"/>
            <w:szCs w:val="28"/>
            <w:lang w:val="en-US"/>
          </w:rPr>
          <w:t>http://www.guideline.gov/browse/guideline_index.aspx</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Royal College of Obstetricians and Gynaecologists </w:t>
      </w:r>
      <w:hyperlink r:id="rId36" w:history="1">
        <w:r w:rsidRPr="000A3788">
          <w:rPr>
            <w:rFonts w:ascii="Times New Roman" w:eastAsia="Calibri" w:hAnsi="Times New Roman" w:cs="Times New Roman"/>
            <w:sz w:val="28"/>
            <w:szCs w:val="28"/>
            <w:lang w:val="en-US"/>
          </w:rPr>
          <w:t>http://www.rcog.org.uk/index.asp?PageID=8</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lang w:val="en-US"/>
        </w:rPr>
        <w:t xml:space="preserve">Neonatology guidelines, Geneva Foundation for Medical Education and Research </w:t>
      </w:r>
      <w:hyperlink r:id="rId37" w:history="1">
        <w:r w:rsidRPr="000A3788">
          <w:rPr>
            <w:rFonts w:ascii="Times New Roman" w:eastAsia="Calibri" w:hAnsi="Times New Roman" w:cs="Times New Roman"/>
            <w:sz w:val="28"/>
            <w:szCs w:val="28"/>
            <w:lang w:val="en-US"/>
          </w:rPr>
          <w:t>http://www.gfmer.ch/Guidelines/Neonatology/Neonatology_mt.htm</w:t>
        </w:r>
      </w:hyperlink>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rPr>
        <w:t>Сторінка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сайту</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кафедри</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дитячих</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інфекційних</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хвороб</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та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дитячої</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імунології</w:t>
      </w:r>
      <w:r w:rsidRPr="000A3788">
        <w:rPr>
          <w:rFonts w:ascii="Times New Roman" w:eastAsia="Calibri" w:hAnsi="Times New Roman" w:cs="Times New Roman"/>
          <w:sz w:val="28"/>
          <w:szCs w:val="28"/>
          <w:lang w:val="en-US"/>
        </w:rPr>
        <w:t xml:space="preserve">. – </w:t>
      </w:r>
      <w:r w:rsidRPr="000A3788">
        <w:rPr>
          <w:rFonts w:ascii="Times New Roman" w:eastAsia="Calibri" w:hAnsi="Times New Roman" w:cs="Times New Roman"/>
          <w:sz w:val="28"/>
          <w:szCs w:val="28"/>
        </w:rPr>
        <w:t>Режим</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доступу</w:t>
      </w:r>
      <w:r w:rsidRPr="000A3788">
        <w:rPr>
          <w:rFonts w:ascii="Times New Roman" w:eastAsia="Calibri" w:hAnsi="Times New Roman" w:cs="Times New Roman"/>
          <w:sz w:val="28"/>
          <w:szCs w:val="28"/>
          <w:lang w:val="en-US"/>
        </w:rPr>
        <w:t xml:space="preserve"> https://nmapo.edu.ua/s/np/k/dyt-infektsiinykh-khvorob</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rPr>
        <w:t>Сторінка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сайту</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Міжнародної</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пацієнтської</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організації</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первинних</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імунодефіцитів</w:t>
      </w:r>
      <w:r w:rsidRPr="000A3788">
        <w:rPr>
          <w:rFonts w:ascii="Times New Roman" w:eastAsia="Calibri" w:hAnsi="Times New Roman" w:cs="Times New Roman"/>
          <w:sz w:val="28"/>
          <w:szCs w:val="28"/>
          <w:lang w:val="en-US"/>
        </w:rPr>
        <w:t xml:space="preserve">. – </w:t>
      </w:r>
      <w:r w:rsidRPr="000A3788">
        <w:rPr>
          <w:rFonts w:ascii="Times New Roman" w:eastAsia="Calibri" w:hAnsi="Times New Roman" w:cs="Times New Roman"/>
          <w:sz w:val="28"/>
          <w:szCs w:val="28"/>
        </w:rPr>
        <w:t>Режим</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доступу</w:t>
      </w:r>
      <w:r w:rsidRPr="000A3788">
        <w:rPr>
          <w:rFonts w:ascii="Times New Roman" w:eastAsia="Calibri" w:hAnsi="Times New Roman" w:cs="Times New Roman"/>
          <w:sz w:val="28"/>
          <w:szCs w:val="28"/>
          <w:lang w:val="en-US"/>
        </w:rPr>
        <w:t xml:space="preserve"> www.ipopi.org</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rPr>
        <w:t>Сторінка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сайту</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ГО</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Всеукраїнська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асоціація</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дитячої</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імунології</w:t>
      </w:r>
      <w:r w:rsidRPr="000A3788">
        <w:rPr>
          <w:rFonts w:ascii="Times New Roman" w:eastAsia="Calibri" w:hAnsi="Times New Roman" w:cs="Times New Roman"/>
          <w:sz w:val="28"/>
          <w:szCs w:val="28"/>
          <w:lang w:val="en-US"/>
        </w:rPr>
        <w:t xml:space="preserve">». – </w:t>
      </w:r>
      <w:r w:rsidRPr="000A3788">
        <w:rPr>
          <w:rFonts w:ascii="Times New Roman" w:eastAsia="Calibri" w:hAnsi="Times New Roman" w:cs="Times New Roman"/>
          <w:sz w:val="28"/>
          <w:szCs w:val="28"/>
        </w:rPr>
        <w:t>Режим</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доступу</w:t>
      </w:r>
      <w:r w:rsidRPr="000A3788">
        <w:rPr>
          <w:rFonts w:ascii="Times New Roman" w:eastAsia="Calibri" w:hAnsi="Times New Roman" w:cs="Times New Roman"/>
          <w:sz w:val="28"/>
          <w:szCs w:val="28"/>
          <w:lang w:val="en-US"/>
        </w:rPr>
        <w:t xml:space="preserve"> www.vadi.org.ua</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lang w:val="en-US"/>
        </w:rPr>
      </w:pPr>
      <w:r w:rsidRPr="000A3788">
        <w:rPr>
          <w:rFonts w:ascii="Times New Roman" w:eastAsia="Calibri" w:hAnsi="Times New Roman" w:cs="Times New Roman"/>
          <w:sz w:val="28"/>
          <w:szCs w:val="28"/>
        </w:rPr>
        <w:t>Сторінка</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сайту</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ГО</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Рідкісні</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імунні</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захворювання</w:t>
      </w:r>
      <w:r w:rsidRPr="000A3788">
        <w:rPr>
          <w:rFonts w:ascii="Times New Roman" w:eastAsia="Calibri" w:hAnsi="Times New Roman" w:cs="Times New Roman"/>
          <w:sz w:val="28"/>
          <w:szCs w:val="28"/>
          <w:lang w:val="en-US"/>
        </w:rPr>
        <w:t xml:space="preserve">». – </w:t>
      </w:r>
      <w:r w:rsidRPr="000A3788">
        <w:rPr>
          <w:rFonts w:ascii="Times New Roman" w:eastAsia="Calibri" w:hAnsi="Times New Roman" w:cs="Times New Roman"/>
          <w:sz w:val="28"/>
          <w:szCs w:val="28"/>
        </w:rPr>
        <w:t>Режим</w:t>
      </w:r>
      <w:r w:rsidRPr="000A3788">
        <w:rPr>
          <w:rFonts w:ascii="Times New Roman" w:eastAsia="Calibri" w:hAnsi="Times New Roman" w:cs="Times New Roman"/>
          <w:sz w:val="28"/>
          <w:szCs w:val="28"/>
          <w:lang w:val="en-US"/>
        </w:rPr>
        <w:t xml:space="preserve"> </w:t>
      </w:r>
      <w:r w:rsidRPr="000A3788">
        <w:rPr>
          <w:rFonts w:ascii="Times New Roman" w:eastAsia="Calibri" w:hAnsi="Times New Roman" w:cs="Times New Roman"/>
          <w:sz w:val="28"/>
          <w:szCs w:val="28"/>
        </w:rPr>
        <w:t>доступу</w:t>
      </w:r>
      <w:r w:rsidRPr="000A3788">
        <w:rPr>
          <w:rFonts w:ascii="Times New Roman" w:eastAsia="Calibri" w:hAnsi="Times New Roman" w:cs="Times New Roman"/>
          <w:sz w:val="28"/>
          <w:szCs w:val="28"/>
          <w:lang w:val="en-US"/>
        </w:rPr>
        <w:t xml:space="preserve"> www.ngo-rid.com</w:t>
      </w:r>
    </w:p>
    <w:p w:rsidR="000A3788" w:rsidRPr="000A3788" w:rsidRDefault="000A3788" w:rsidP="000A3788">
      <w:pPr>
        <w:numPr>
          <w:ilvl w:val="0"/>
          <w:numId w:val="24"/>
        </w:numPr>
        <w:shd w:val="clear" w:color="auto" w:fill="FFFFFF"/>
        <w:spacing w:after="0" w:line="276" w:lineRule="auto"/>
        <w:ind w:hanging="720"/>
        <w:contextualSpacing/>
        <w:jc w:val="both"/>
        <w:rPr>
          <w:rFonts w:ascii="Times New Roman" w:eastAsia="Calibri" w:hAnsi="Times New Roman" w:cs="Times New Roman"/>
          <w:sz w:val="28"/>
          <w:szCs w:val="28"/>
        </w:rPr>
      </w:pPr>
      <w:r w:rsidRPr="000A3788">
        <w:rPr>
          <w:rFonts w:ascii="Times New Roman" w:eastAsia="Calibri" w:hAnsi="Times New Roman" w:cs="Times New Roman"/>
          <w:sz w:val="28"/>
          <w:szCs w:val="28"/>
        </w:rPr>
        <w:t>Сторінка сайту МОЗ щодо вакцинації. – Режим доступу: www.moz.gov.ua/immunization</w:t>
      </w:r>
    </w:p>
    <w:p w:rsidR="00E1765E" w:rsidRPr="000A3788" w:rsidRDefault="00E1765E" w:rsidP="00E1765E">
      <w:pPr>
        <w:pStyle w:val="a3"/>
        <w:spacing w:after="0" w:line="240" w:lineRule="auto"/>
        <w:jc w:val="both"/>
        <w:rPr>
          <w:rFonts w:ascii="Times New Roman" w:eastAsia="Times New Roman" w:hAnsi="Times New Roman" w:cs="Times New Roman"/>
          <w:color w:val="2E74B5"/>
        </w:rPr>
        <w:sectPr w:rsidR="00E1765E" w:rsidRPr="000A3788" w:rsidSect="00933C1F">
          <w:pgSz w:w="11906" w:h="16838"/>
          <w:pgMar w:top="1134" w:right="567" w:bottom="1134" w:left="1701" w:header="709" w:footer="709" w:gutter="0"/>
          <w:cols w:space="708"/>
          <w:docGrid w:linePitch="360"/>
        </w:sectPr>
      </w:pPr>
    </w:p>
    <w:p w:rsidR="003F4EC3" w:rsidRPr="004A3AE1" w:rsidRDefault="003F4EC3" w:rsidP="004A3AE1">
      <w:pPr>
        <w:pStyle w:val="1"/>
        <w:spacing w:before="0" w:line="240" w:lineRule="auto"/>
        <w:jc w:val="center"/>
        <w:rPr>
          <w:rFonts w:ascii="Times New Roman" w:hAnsi="Times New Roman" w:cs="Times New Roman"/>
        </w:rPr>
      </w:pPr>
      <w:bookmarkStart w:id="10" w:name="_Toc69652402"/>
      <w:r w:rsidRPr="004A3AE1">
        <w:rPr>
          <w:rFonts w:ascii="Times New Roman" w:eastAsia="Times New Roman" w:hAnsi="Times New Roman" w:cs="Times New Roman"/>
          <w:lang w:val="uk-UA"/>
        </w:rPr>
        <w:lastRenderedPageBreak/>
        <w:t>ВИМОГИ ДО ОФОРМЛЕННЯ НАУКОВОЇ ДОПОВІДІ (РЕФЕРАТУ)</w:t>
      </w:r>
      <w:bookmarkEnd w:id="9"/>
      <w:bookmarkEnd w:id="10"/>
    </w:p>
    <w:p w:rsidR="003F4EC3" w:rsidRPr="003F4EC3" w:rsidRDefault="003F4EC3" w:rsidP="002A1ACF">
      <w:pPr>
        <w:spacing w:after="0" w:line="240" w:lineRule="auto"/>
        <w:contextualSpacing/>
        <w:jc w:val="center"/>
        <w:rPr>
          <w:rFonts w:ascii="Times New Roman" w:eastAsia="Calibri" w:hAnsi="Times New Roman" w:cs="Times New Roman"/>
          <w:b/>
          <w:bCs/>
          <w:sz w:val="28"/>
          <w:szCs w:val="28"/>
          <w:lang w:val="uk-UA"/>
        </w:rPr>
      </w:pP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У рефераті мають бути висвітлені найважливіші питання з переліку тем, наведених в даній програмі.</w:t>
      </w:r>
    </w:p>
    <w:p w:rsidR="003F4EC3" w:rsidRPr="003F4EC3" w:rsidRDefault="003F4EC3" w:rsidP="002A1ACF">
      <w:pPr>
        <w:spacing w:after="0" w:line="240" w:lineRule="auto"/>
        <w:ind w:firstLine="709"/>
        <w:contextualSpacing/>
        <w:jc w:val="both"/>
        <w:rPr>
          <w:rFonts w:ascii="Times New Roman" w:eastAsia="Calibri" w:hAnsi="Times New Roman" w:cs="Times New Roman"/>
          <w:b/>
          <w:bCs/>
          <w:sz w:val="28"/>
          <w:szCs w:val="28"/>
          <w:lang w:val="uk-UA"/>
        </w:rPr>
      </w:pPr>
      <w:r w:rsidRPr="003F4EC3">
        <w:rPr>
          <w:rFonts w:ascii="Times New Roman" w:eastAsia="Calibri" w:hAnsi="Times New Roman" w:cs="Times New Roman"/>
          <w:b/>
          <w:bCs/>
          <w:sz w:val="28"/>
          <w:szCs w:val="28"/>
          <w:lang w:val="uk-UA"/>
        </w:rPr>
        <w:t>Обов’язковими структурними елементами реферату є:</w:t>
      </w:r>
    </w:p>
    <w:p w:rsidR="003F4EC3" w:rsidRPr="003F4EC3" w:rsidRDefault="003F4EC3" w:rsidP="002A1ACF">
      <w:pPr>
        <w:numPr>
          <w:ilvl w:val="0"/>
          <w:numId w:val="6"/>
        </w:numPr>
        <w:spacing w:after="0" w:line="240" w:lineRule="auto"/>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титульний аркуш;</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зміст;</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перелік умовних позначень (за необхідністю);</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вступ;</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основна частина;</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висновки;</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додатки ( за необхідністю);</w:t>
      </w:r>
    </w:p>
    <w:p w:rsidR="003F4EC3" w:rsidRPr="003F4EC3" w:rsidRDefault="003F4EC3" w:rsidP="002A1ACF">
      <w:pPr>
        <w:numPr>
          <w:ilvl w:val="0"/>
          <w:numId w:val="6"/>
        </w:numPr>
        <w:spacing w:after="0" w:line="240" w:lineRule="auto"/>
        <w:ind w:hanging="357"/>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список використаних джерел.</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Титульний аркуш</w:t>
      </w:r>
      <w:r w:rsidRPr="003F4EC3">
        <w:rPr>
          <w:rFonts w:ascii="Times New Roman" w:eastAsia="Calibri" w:hAnsi="Times New Roman" w:cs="Times New Roman"/>
          <w:sz w:val="28"/>
          <w:szCs w:val="28"/>
          <w:lang w:val="uk-UA"/>
        </w:rPr>
        <w:t xml:space="preserve"> реферату має містити прізвище, ім’я, по батькові автора; назву реферату; найменування спеціальності (наукової спеціальності); місто рік </w:t>
      </w:r>
      <w:r w:rsidRPr="003F4EC3">
        <w:rPr>
          <w:rFonts w:ascii="Times New Roman" w:eastAsia="Calibri" w:hAnsi="Times New Roman" w:cs="Times New Roman"/>
          <w:i/>
          <w:iCs/>
          <w:sz w:val="28"/>
          <w:szCs w:val="28"/>
          <w:lang w:val="uk-UA"/>
        </w:rPr>
        <w:t>(Див. зразок).</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Зміст</w:t>
      </w:r>
      <w:r w:rsidRPr="003F4EC3">
        <w:rPr>
          <w:rFonts w:ascii="Times New Roman" w:eastAsia="Calibri" w:hAnsi="Times New Roman" w:cs="Times New Roman"/>
          <w:sz w:val="28"/>
          <w:szCs w:val="28"/>
          <w:lang w:val="uk-UA"/>
        </w:rPr>
        <w:t xml:space="preserve"> подають на початку реферату.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використаних джерел.</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У </w:t>
      </w:r>
      <w:r w:rsidRPr="003F4EC3">
        <w:rPr>
          <w:rFonts w:ascii="Times New Roman" w:eastAsia="Calibri" w:hAnsi="Times New Roman" w:cs="Times New Roman"/>
          <w:b/>
          <w:bCs/>
          <w:sz w:val="28"/>
          <w:szCs w:val="28"/>
          <w:lang w:val="uk-UA"/>
        </w:rPr>
        <w:t>вступі</w:t>
      </w:r>
      <w:r w:rsidRPr="003F4EC3">
        <w:rPr>
          <w:rFonts w:ascii="Times New Roman" w:eastAsia="Calibri" w:hAnsi="Times New Roman" w:cs="Times New Roman"/>
          <w:sz w:val="28"/>
          <w:szCs w:val="28"/>
          <w:lang w:val="uk-UA"/>
        </w:rPr>
        <w:t xml:space="preserve"> мають бути обов’язково відображені: актуальність теми, ступінь розробленості проблеми, мета, поставлені завдання та невирішені проблемні питання.</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Основна частина</w:t>
      </w:r>
      <w:r w:rsidRPr="003F4EC3">
        <w:rPr>
          <w:rFonts w:ascii="Times New Roman" w:eastAsia="Calibri" w:hAnsi="Times New Roman" w:cs="Times New Roman"/>
          <w:sz w:val="28"/>
          <w:szCs w:val="28"/>
          <w:lang w:val="uk-UA"/>
        </w:rPr>
        <w:t xml:space="preserve"> реферату має містити виклад самостійно виконаного аналітичного, експериментального чи клінічного дослідження  обґрунтуванням отриманих наукових результатів.</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У основній частині подають розділи:</w:t>
      </w:r>
    </w:p>
    <w:p w:rsidR="003F4EC3" w:rsidRPr="003F4EC3" w:rsidRDefault="003F4EC3" w:rsidP="002A1ACF">
      <w:pPr>
        <w:numPr>
          <w:ilvl w:val="0"/>
          <w:numId w:val="7"/>
        </w:numPr>
        <w:spacing w:after="0" w:line="240" w:lineRule="auto"/>
        <w:ind w:left="0"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огляд наукової літературу за темою і вибір напряму дослідження;</w:t>
      </w:r>
    </w:p>
    <w:p w:rsidR="003F4EC3" w:rsidRPr="003F4EC3" w:rsidRDefault="003F4EC3" w:rsidP="002A1ACF">
      <w:pPr>
        <w:numPr>
          <w:ilvl w:val="0"/>
          <w:numId w:val="7"/>
        </w:numPr>
        <w:spacing w:after="0" w:line="240" w:lineRule="auto"/>
        <w:ind w:left="0"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для експериментальних чи клінічних робіт виклад методів або методик дослідження;</w:t>
      </w:r>
    </w:p>
    <w:p w:rsidR="003F4EC3" w:rsidRPr="003F4EC3" w:rsidRDefault="003F4EC3" w:rsidP="002A1ACF">
      <w:pPr>
        <w:numPr>
          <w:ilvl w:val="0"/>
          <w:numId w:val="7"/>
        </w:numPr>
        <w:spacing w:after="0" w:line="240" w:lineRule="auto"/>
        <w:ind w:left="0"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опис проведених теоретичних, або результати експериментальних чи клінічних досліджень;</w:t>
      </w:r>
    </w:p>
    <w:p w:rsidR="003F4EC3" w:rsidRPr="003F4EC3" w:rsidRDefault="003F4EC3" w:rsidP="002A1ACF">
      <w:pPr>
        <w:numPr>
          <w:ilvl w:val="0"/>
          <w:numId w:val="7"/>
        </w:numPr>
        <w:spacing w:after="0" w:line="240" w:lineRule="auto"/>
        <w:ind w:left="0"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аналіз і узагальнення результатів дослідження.</w:t>
      </w:r>
    </w:p>
    <w:p w:rsidR="003F4EC3" w:rsidRPr="003F4EC3" w:rsidRDefault="003F4EC3" w:rsidP="002A1ACF">
      <w:pPr>
        <w:spacing w:after="0" w:line="240" w:lineRule="auto"/>
        <w:ind w:firstLine="709"/>
        <w:contextualSpacing/>
        <w:jc w:val="both"/>
        <w:rPr>
          <w:rFonts w:ascii="Times New Roman" w:eastAsia="Calibri" w:hAnsi="Times New Roman" w:cs="Times New Roman"/>
          <w:b/>
          <w:bCs/>
          <w:sz w:val="28"/>
          <w:szCs w:val="28"/>
          <w:lang w:val="uk-UA"/>
        </w:rPr>
      </w:pPr>
      <w:r w:rsidRPr="003F4EC3">
        <w:rPr>
          <w:rFonts w:ascii="Times New Roman" w:eastAsia="Calibri" w:hAnsi="Times New Roman" w:cs="Times New Roman"/>
          <w:b/>
          <w:bCs/>
          <w:sz w:val="28"/>
          <w:szCs w:val="28"/>
          <w:lang w:val="uk-UA"/>
        </w:rPr>
        <w:t>Кожний розділ починають з нової сторінки.</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Зміст</w:t>
      </w:r>
      <w:r w:rsidRPr="003F4EC3">
        <w:rPr>
          <w:rFonts w:ascii="Times New Roman" w:eastAsia="Calibri" w:hAnsi="Times New Roman" w:cs="Times New Roman"/>
          <w:b/>
          <w:bCs/>
          <w:sz w:val="28"/>
          <w:szCs w:val="28"/>
          <w:lang w:val="uk-UA"/>
        </w:rPr>
        <w:t xml:space="preserve"> </w:t>
      </w:r>
      <w:r w:rsidRPr="003F4EC3">
        <w:rPr>
          <w:rFonts w:ascii="Times New Roman" w:eastAsia="Calibri" w:hAnsi="Times New Roman" w:cs="Times New Roman"/>
          <w:sz w:val="28"/>
          <w:szCs w:val="28"/>
          <w:lang w:val="uk-UA"/>
        </w:rPr>
        <w:t>розділів основної частини має точно відповідати темі роботи і повністю її розкривати.</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Висновки</w:t>
      </w:r>
      <w:r w:rsidRPr="003F4EC3">
        <w:rPr>
          <w:rFonts w:ascii="Times New Roman" w:eastAsia="Calibri" w:hAnsi="Times New Roman" w:cs="Times New Roman"/>
          <w:sz w:val="28"/>
          <w:szCs w:val="28"/>
          <w:lang w:val="uk-UA"/>
        </w:rPr>
        <w:t xml:space="preserve"> мають відповідати визначеним автором завданням дослідження.</w:t>
      </w:r>
    </w:p>
    <w:p w:rsidR="003F4EC3" w:rsidRPr="003F4EC3" w:rsidRDefault="003F4EC3" w:rsidP="002A1ACF">
      <w:pPr>
        <w:spacing w:after="0" w:line="240" w:lineRule="auto"/>
        <w:ind w:firstLine="709"/>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Для дотримання бажаного стилю висновків корисно застосовувати в пунктах висновків такі слова та вислови, як проаналізовано …, встановлено …, виявлено …, що дало змогу …, доведено …, показано …, досліджено …, розроблено …, отримано …, запропоновано …, розроблено …, рекомендовано …, вважається а доцільне … тощо.</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lastRenderedPageBreak/>
        <w:t>Ознайомлення з текстом висновків має дати можливість сформувати уявлення про ступінь реалізації автором роботи поставленої мети і завдань.</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Додатки.</w:t>
      </w:r>
      <w:r w:rsidRPr="003F4EC3">
        <w:rPr>
          <w:rFonts w:ascii="Times New Roman" w:eastAsia="Calibri" w:hAnsi="Times New Roman" w:cs="Times New Roman"/>
          <w:sz w:val="28"/>
          <w:szCs w:val="28"/>
          <w:lang w:val="uk-UA"/>
        </w:rPr>
        <w:t xml:space="preserve"> У разі потреби до додатків доцільно включати допоміжний матеріал, необхідний для повноти сприйняття роботи.</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Додатки позначають великими літерами української абетки, починаючи з А, за винятком літер Г, Є, І, Ї, Й, О, Ч, Ь. Після слова «Додаток» друкують літеру, що позначає його послідовність.</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Якщо у роботі один додаток, то він позначається «Додаток А».</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Кожний додаток слід починати з нової сторінки із зазначенням у правому верхньому куті сторінки слова «Додаток» і його позначення.</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Список використаних джерел</w:t>
      </w:r>
      <w:r w:rsidRPr="003F4EC3">
        <w:rPr>
          <w:rFonts w:ascii="Times New Roman" w:eastAsia="Calibri" w:hAnsi="Times New Roman" w:cs="Times New Roman"/>
          <w:sz w:val="28"/>
          <w:szCs w:val="28"/>
          <w:lang w:val="uk-UA"/>
        </w:rPr>
        <w:t xml:space="preserve"> слід розміщувати одним з таких способів: у порядку появи посилань у тексті (найбільш зручний для користування) або в алфавітному порядку прізвищ перших авторів або заголовків.</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Кількість позицій у списку має становити не менше 25 джерел.</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Бібліографічний опис джерел складають відповідно до чинних стандартів з бібліографічної та видавничої справи: ДСТУ ГОСТ 205 «Система стандартів з інформації, бібліотечної та видавничої справи. Бібліографічний опис. Загальні вимоги та правила складання». – К.: Держспоживстандарт України, 2015.</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По кожному джерелу слід наводити такі дані: прізвище та ініціали автора, повну назву книги, статті, журналу, місто, видання, назву видавництва, рік видання, номер сторінок у книзі, журналі. При посиланні на збірники праць – дані про автора, назву статті, повне найменування збірника, місто та видавничу організацію, рік та номери сторінок, на яких розташована ця стаття.</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Зарубіжна джерела, що використовуються мовою оригіналу (за винятком російських), записують в кінці списку в алфавітному порядку.</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У тексті роботи, де використано джерело, в квадратних дужках проставляють номер джерела і сторінку, на яку зроблено посилання (наприклад </w:t>
      </w:r>
      <w:r w:rsidRPr="003F4EC3">
        <w:rPr>
          <w:rFonts w:ascii="Times New Roman" w:eastAsia="Calibri" w:hAnsi="Times New Roman" w:cs="Times New Roman"/>
          <w:sz w:val="28"/>
          <w:szCs w:val="28"/>
        </w:rPr>
        <w:t>[</w:t>
      </w:r>
      <w:r w:rsidRPr="003F4EC3">
        <w:rPr>
          <w:rFonts w:ascii="Times New Roman" w:eastAsia="Calibri" w:hAnsi="Times New Roman" w:cs="Times New Roman"/>
          <w:sz w:val="28"/>
          <w:szCs w:val="28"/>
          <w:lang w:val="uk-UA"/>
        </w:rPr>
        <w:t>10, с. 25</w:t>
      </w:r>
      <w:r w:rsidRPr="003F4EC3">
        <w:rPr>
          <w:rFonts w:ascii="Times New Roman" w:eastAsia="Calibri" w:hAnsi="Times New Roman" w:cs="Times New Roman"/>
          <w:sz w:val="28"/>
          <w:szCs w:val="28"/>
        </w:rPr>
        <w:t>]</w:t>
      </w:r>
      <w:r w:rsidRPr="003F4EC3">
        <w:rPr>
          <w:rFonts w:ascii="Times New Roman" w:eastAsia="Calibri" w:hAnsi="Times New Roman" w:cs="Times New Roman"/>
          <w:sz w:val="28"/>
          <w:szCs w:val="28"/>
          <w:lang w:val="uk-UA"/>
        </w:rPr>
        <w:t>).</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b/>
          <w:bCs/>
          <w:sz w:val="28"/>
          <w:szCs w:val="28"/>
          <w:lang w:val="uk-UA"/>
        </w:rPr>
        <w:t>Технічні вимоги до реферату.</w:t>
      </w:r>
      <w:r w:rsidRPr="003F4EC3">
        <w:rPr>
          <w:rFonts w:ascii="Times New Roman" w:eastAsia="Calibri" w:hAnsi="Times New Roman" w:cs="Times New Roman"/>
          <w:sz w:val="28"/>
          <w:szCs w:val="28"/>
          <w:lang w:val="uk-UA"/>
        </w:rPr>
        <w:t xml:space="preserve"> Реферат за обсягом повинен складати 24-30 сторінок (формат А4). Текст має бути набраний шрифтом </w:t>
      </w:r>
      <w:r w:rsidRPr="003F4EC3">
        <w:rPr>
          <w:rFonts w:ascii="Times New Roman" w:eastAsia="Calibri" w:hAnsi="Times New Roman" w:cs="Times New Roman"/>
          <w:sz w:val="28"/>
          <w:szCs w:val="28"/>
          <w:lang w:val="en-US"/>
        </w:rPr>
        <w:t>Times</w:t>
      </w:r>
      <w:r w:rsidRPr="003F4EC3">
        <w:rPr>
          <w:rFonts w:ascii="Times New Roman" w:eastAsia="Calibri" w:hAnsi="Times New Roman" w:cs="Times New Roman"/>
          <w:sz w:val="28"/>
          <w:szCs w:val="28"/>
          <w:lang w:val="uk-UA"/>
        </w:rPr>
        <w:t xml:space="preserve"> </w:t>
      </w:r>
      <w:r w:rsidRPr="003F4EC3">
        <w:rPr>
          <w:rFonts w:ascii="Times New Roman" w:eastAsia="Calibri" w:hAnsi="Times New Roman" w:cs="Times New Roman"/>
          <w:sz w:val="28"/>
          <w:szCs w:val="28"/>
          <w:lang w:val="en-US"/>
        </w:rPr>
        <w:t>New</w:t>
      </w:r>
      <w:r w:rsidRPr="003F4EC3">
        <w:rPr>
          <w:rFonts w:ascii="Times New Roman" w:eastAsia="Calibri" w:hAnsi="Times New Roman" w:cs="Times New Roman"/>
          <w:sz w:val="28"/>
          <w:szCs w:val="28"/>
          <w:lang w:val="uk-UA"/>
        </w:rPr>
        <w:t xml:space="preserve"> </w:t>
      </w:r>
      <w:r w:rsidRPr="003F4EC3">
        <w:rPr>
          <w:rFonts w:ascii="Times New Roman" w:eastAsia="Calibri" w:hAnsi="Times New Roman" w:cs="Times New Roman"/>
          <w:sz w:val="28"/>
          <w:szCs w:val="28"/>
          <w:lang w:val="en-US"/>
        </w:rPr>
        <w:t>Roman</w:t>
      </w:r>
      <w:r w:rsidRPr="003F4EC3">
        <w:rPr>
          <w:rFonts w:ascii="Times New Roman" w:eastAsia="Calibri" w:hAnsi="Times New Roman" w:cs="Times New Roman"/>
          <w:sz w:val="28"/>
          <w:szCs w:val="28"/>
          <w:lang w:val="uk-UA"/>
        </w:rPr>
        <w:t xml:space="preserve"> 14 кеглем через 1,5 інтервал. Поля: верхнє і нижнє – 2 см, ліве – 2.5 см, праве – 1,0 см.</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Реферат необхідно подавати у поліпропіленовій папці-шидкозшивачі.</w:t>
      </w:r>
    </w:p>
    <w:p w:rsidR="003F4EC3" w:rsidRPr="003F4EC3" w:rsidRDefault="003F4EC3" w:rsidP="002A1ACF">
      <w:pPr>
        <w:spacing w:after="0" w:line="240" w:lineRule="auto"/>
        <w:ind w:firstLine="720"/>
        <w:contextualSpacing/>
        <w:jc w:val="both"/>
        <w:rPr>
          <w:rFonts w:ascii="Times New Roman" w:eastAsia="Calibri" w:hAnsi="Times New Roman" w:cs="Times New Roman"/>
          <w:b/>
          <w:sz w:val="28"/>
          <w:szCs w:val="28"/>
          <w:lang w:val="uk-UA"/>
        </w:rPr>
      </w:pPr>
      <w:r w:rsidRPr="003F4EC3">
        <w:rPr>
          <w:rFonts w:ascii="Times New Roman" w:eastAsia="Calibri" w:hAnsi="Times New Roman" w:cs="Times New Roman"/>
          <w:b/>
          <w:sz w:val="28"/>
          <w:szCs w:val="28"/>
          <w:lang w:val="uk-UA"/>
        </w:rPr>
        <w:t>На останній сторінці наукової доповіді (реферату) вступник обов</w:t>
      </w:r>
      <w:r w:rsidRPr="003F4EC3">
        <w:rPr>
          <w:rFonts w:ascii="Times New Roman" w:eastAsia="Calibri" w:hAnsi="Times New Roman" w:cs="Times New Roman"/>
          <w:b/>
          <w:sz w:val="28"/>
          <w:szCs w:val="28"/>
        </w:rPr>
        <w:t>’</w:t>
      </w:r>
      <w:r w:rsidRPr="003F4EC3">
        <w:rPr>
          <w:rFonts w:ascii="Times New Roman" w:eastAsia="Calibri" w:hAnsi="Times New Roman" w:cs="Times New Roman"/>
          <w:b/>
          <w:sz w:val="28"/>
          <w:szCs w:val="28"/>
          <w:lang w:val="uk-UA"/>
        </w:rPr>
        <w:t>язково проставляє дату і ставить свій підпис.</w:t>
      </w: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br w:type="column"/>
      </w:r>
      <w:r w:rsidRPr="003F4EC3">
        <w:rPr>
          <w:rFonts w:ascii="Times New Roman" w:eastAsia="Calibri" w:hAnsi="Times New Roman" w:cs="Times New Roman"/>
          <w:i/>
          <w:iCs/>
          <w:sz w:val="28"/>
          <w:szCs w:val="28"/>
          <w:lang w:val="uk-UA"/>
        </w:rPr>
        <w:lastRenderedPageBreak/>
        <w:t>ЗРАЗОК ТИТУЛЬНОГО АРКУША РЕФЕРАТУ</w:t>
      </w:r>
    </w:p>
    <w:p w:rsidR="003F4EC3" w:rsidRPr="003F4EC3" w:rsidRDefault="003F4EC3" w:rsidP="002A1ACF">
      <w:pPr>
        <w:spacing w:after="0" w:line="240" w:lineRule="auto"/>
        <w:ind w:firstLine="720"/>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МІНІСТЕРСТВО ОХОРОНИ ЗДОРОВЯ УКРАЇНИ</w:t>
      </w: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НАЦІОНАЛЬНИЙ УНІВЕРСИТЕТ ОХОРОНИ ЗДОРОВЯ УКРАЇНИ </w:t>
      </w: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ІМЕНІ П. Л. ШУПИКА</w:t>
      </w: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b/>
          <w:bCs/>
          <w:sz w:val="28"/>
          <w:szCs w:val="28"/>
          <w:lang w:val="uk-UA"/>
        </w:rPr>
      </w:pPr>
      <w:r w:rsidRPr="003F4EC3">
        <w:rPr>
          <w:rFonts w:ascii="Times New Roman" w:eastAsia="Calibri" w:hAnsi="Times New Roman" w:cs="Times New Roman"/>
          <w:b/>
          <w:bCs/>
          <w:sz w:val="28"/>
          <w:szCs w:val="28"/>
          <w:lang w:val="uk-UA"/>
        </w:rPr>
        <w:t>РЕФЕРАТ</w:t>
      </w: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b/>
          <w:bCs/>
          <w:sz w:val="28"/>
          <w:szCs w:val="28"/>
          <w:lang w:val="uk-UA"/>
        </w:rPr>
      </w:pPr>
      <w:r w:rsidRPr="003F4EC3">
        <w:rPr>
          <w:rFonts w:ascii="Times New Roman" w:eastAsia="Calibri" w:hAnsi="Times New Roman" w:cs="Times New Roman"/>
          <w:b/>
          <w:bCs/>
          <w:sz w:val="28"/>
          <w:szCs w:val="28"/>
          <w:lang w:val="uk-UA"/>
        </w:rPr>
        <w:t>на тему: «НАЗВА РЕФЕРАТУ»</w:t>
      </w: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до участі в конкурсному відборі на навчання </w:t>
      </w:r>
    </w:p>
    <w:p w:rsidR="003F4EC3" w:rsidRPr="003F4EC3" w:rsidRDefault="003F4EC3" w:rsidP="002A1ACF">
      <w:pPr>
        <w:spacing w:after="0" w:line="240" w:lineRule="auto"/>
        <w:ind w:left="720"/>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для здобуття вищої освіти ступеня доктора філософії в аспірантурі</w:t>
      </w:r>
    </w:p>
    <w:p w:rsidR="003F4EC3" w:rsidRPr="003F4EC3" w:rsidRDefault="003F4EC3" w:rsidP="002A1ACF">
      <w:pPr>
        <w:spacing w:after="0" w:line="240" w:lineRule="auto"/>
        <w:ind w:left="720"/>
        <w:contextualSpacing/>
        <w:jc w:val="center"/>
        <w:rPr>
          <w:rFonts w:ascii="Times New Roman" w:eastAsia="Calibri" w:hAnsi="Times New Roman" w:cs="Times New Roman"/>
          <w:sz w:val="28"/>
          <w:szCs w:val="28"/>
          <w:lang w:val="uk-UA"/>
        </w:rPr>
      </w:pPr>
    </w:p>
    <w:p w:rsidR="00994970" w:rsidRDefault="003F4EC3" w:rsidP="002A1ACF">
      <w:pPr>
        <w:spacing w:after="0" w:line="240" w:lineRule="auto"/>
        <w:contextualSpacing/>
        <w:jc w:val="center"/>
        <w:rPr>
          <w:rFonts w:ascii="Times New Roman" w:eastAsia="Calibri" w:hAnsi="Times New Roman" w:cs="Times New Roman"/>
          <w:iCs/>
          <w:sz w:val="28"/>
          <w:szCs w:val="28"/>
          <w:lang w:val="uk-UA"/>
        </w:rPr>
      </w:pPr>
      <w:r w:rsidRPr="003F4EC3">
        <w:rPr>
          <w:rFonts w:ascii="Times New Roman" w:eastAsia="Calibri" w:hAnsi="Times New Roman" w:cs="Times New Roman"/>
          <w:sz w:val="28"/>
          <w:szCs w:val="28"/>
          <w:lang w:val="uk-UA"/>
        </w:rPr>
        <w:t xml:space="preserve">зі спеціальності </w:t>
      </w:r>
      <w:r w:rsidRPr="003F4EC3">
        <w:rPr>
          <w:rFonts w:ascii="Times New Roman" w:eastAsia="Calibri" w:hAnsi="Times New Roman" w:cs="Times New Roman"/>
          <w:iCs/>
          <w:sz w:val="28"/>
          <w:szCs w:val="28"/>
          <w:lang w:val="uk-UA"/>
        </w:rPr>
        <w:t>22</w:t>
      </w:r>
      <w:r w:rsidR="00880280">
        <w:rPr>
          <w:rFonts w:ascii="Times New Roman" w:eastAsia="Calibri" w:hAnsi="Times New Roman" w:cs="Times New Roman"/>
          <w:iCs/>
          <w:sz w:val="28"/>
          <w:szCs w:val="28"/>
          <w:lang w:val="uk-UA"/>
        </w:rPr>
        <w:t>8</w:t>
      </w:r>
      <w:r w:rsidRPr="003F4EC3">
        <w:rPr>
          <w:rFonts w:ascii="Times New Roman" w:eastAsia="Calibri" w:hAnsi="Times New Roman" w:cs="Times New Roman"/>
          <w:iCs/>
          <w:sz w:val="28"/>
          <w:szCs w:val="28"/>
          <w:lang w:val="uk-UA"/>
        </w:rPr>
        <w:t xml:space="preserve"> «</w:t>
      </w:r>
      <w:r w:rsidR="00880280">
        <w:rPr>
          <w:rFonts w:ascii="Times New Roman" w:eastAsia="Calibri" w:hAnsi="Times New Roman" w:cs="Times New Roman"/>
          <w:iCs/>
          <w:sz w:val="28"/>
          <w:szCs w:val="28"/>
          <w:lang w:val="uk-UA"/>
        </w:rPr>
        <w:t>Педіатрія</w:t>
      </w:r>
      <w:r w:rsidRPr="003F4EC3">
        <w:rPr>
          <w:rFonts w:ascii="Times New Roman" w:eastAsia="Calibri" w:hAnsi="Times New Roman" w:cs="Times New Roman"/>
          <w:iCs/>
          <w:sz w:val="28"/>
          <w:szCs w:val="28"/>
          <w:lang w:val="uk-UA"/>
        </w:rPr>
        <w:t xml:space="preserve">» </w:t>
      </w: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iCs/>
          <w:sz w:val="28"/>
          <w:szCs w:val="28"/>
          <w:lang w:val="uk-UA"/>
        </w:rPr>
        <w:t>галузі знань 22 «Охорона здоров'я»</w:t>
      </w: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Виконав: ________________________</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                    (власне ім</w:t>
      </w:r>
      <w:r w:rsidRPr="003F4EC3">
        <w:rPr>
          <w:rFonts w:ascii="Times New Roman" w:eastAsia="Calibri" w:hAnsi="Times New Roman" w:cs="Times New Roman"/>
          <w:sz w:val="28"/>
          <w:szCs w:val="28"/>
        </w:rPr>
        <w:t>’</w:t>
      </w:r>
      <w:r w:rsidRPr="003F4EC3">
        <w:rPr>
          <w:rFonts w:ascii="Times New Roman" w:eastAsia="Calibri" w:hAnsi="Times New Roman" w:cs="Times New Roman"/>
          <w:sz w:val="28"/>
          <w:szCs w:val="28"/>
          <w:lang w:val="uk-UA"/>
        </w:rPr>
        <w:t>я, прізвище)</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Перевірив: ______________________</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 xml:space="preserve">                              (підписи)</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________________________________</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________________________________</w:t>
      </w:r>
    </w:p>
    <w:p w:rsidR="003F4EC3" w:rsidRPr="003F4EC3" w:rsidRDefault="003F4EC3" w:rsidP="002A1ACF">
      <w:pPr>
        <w:spacing w:after="0" w:line="240" w:lineRule="auto"/>
        <w:ind w:left="4678"/>
        <w:contextualSpacing/>
        <w:jc w:val="both"/>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(власне ім’я, прізвище членів комісії)</w:t>
      </w: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jc w:val="both"/>
        <w:rPr>
          <w:rFonts w:ascii="Times New Roman" w:eastAsia="Calibri" w:hAnsi="Times New Roman" w:cs="Times New Roman"/>
          <w:sz w:val="28"/>
          <w:szCs w:val="28"/>
          <w:lang w:val="uk-UA"/>
        </w:rPr>
      </w:pP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rPr>
          <w:rFonts w:ascii="Times New Roman" w:eastAsia="Calibri" w:hAnsi="Times New Roman" w:cs="Times New Roman"/>
          <w:b/>
          <w:bCs/>
          <w:sz w:val="28"/>
          <w:szCs w:val="28"/>
          <w:lang w:val="uk-UA"/>
        </w:rPr>
      </w:pPr>
    </w:p>
    <w:p w:rsidR="003F4EC3" w:rsidRPr="003F4EC3" w:rsidRDefault="003F4EC3" w:rsidP="002A1ACF">
      <w:pPr>
        <w:spacing w:after="0" w:line="240" w:lineRule="auto"/>
        <w:contextualSpacing/>
        <w:jc w:val="center"/>
        <w:rPr>
          <w:rFonts w:ascii="Times New Roman" w:eastAsia="Calibri" w:hAnsi="Times New Roman" w:cs="Times New Roman"/>
          <w:sz w:val="28"/>
          <w:szCs w:val="28"/>
          <w:lang w:val="uk-UA"/>
        </w:rPr>
      </w:pPr>
      <w:r w:rsidRPr="003F4EC3">
        <w:rPr>
          <w:rFonts w:ascii="Times New Roman" w:eastAsia="Calibri" w:hAnsi="Times New Roman" w:cs="Times New Roman"/>
          <w:sz w:val="28"/>
          <w:szCs w:val="28"/>
          <w:lang w:val="uk-UA"/>
        </w:rPr>
        <w:t>Київ - 2021</w:t>
      </w:r>
    </w:p>
    <w:p w:rsidR="003F7DA0" w:rsidRDefault="003F7DA0" w:rsidP="004325CB"/>
    <w:sectPr w:rsidR="003F7DA0" w:rsidSect="00933C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9E" w:rsidRDefault="00005F9E" w:rsidP="006A3750">
      <w:pPr>
        <w:spacing w:after="0" w:line="240" w:lineRule="auto"/>
      </w:pPr>
      <w:r>
        <w:separator/>
      </w:r>
    </w:p>
  </w:endnote>
  <w:endnote w:type="continuationSeparator" w:id="0">
    <w:p w:rsidR="00005F9E" w:rsidRDefault="00005F9E" w:rsidP="006A3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9E" w:rsidRDefault="00005F9E" w:rsidP="006A3750">
      <w:pPr>
        <w:spacing w:after="0" w:line="240" w:lineRule="auto"/>
      </w:pPr>
      <w:r>
        <w:separator/>
      </w:r>
    </w:p>
  </w:footnote>
  <w:footnote w:type="continuationSeparator" w:id="0">
    <w:p w:rsidR="00005F9E" w:rsidRDefault="00005F9E" w:rsidP="006A3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79618"/>
      <w:docPartObj>
        <w:docPartGallery w:val="Page Numbers (Top of Page)"/>
        <w:docPartUnique/>
      </w:docPartObj>
    </w:sdtPr>
    <w:sdtEndPr>
      <w:rPr>
        <w:rFonts w:ascii="Times New Roman" w:hAnsi="Times New Roman" w:cs="Times New Roman"/>
        <w:sz w:val="24"/>
        <w:szCs w:val="24"/>
      </w:rPr>
    </w:sdtEndPr>
    <w:sdtContent>
      <w:p w:rsidR="00934725" w:rsidRPr="005C4193" w:rsidRDefault="00934725">
        <w:pPr>
          <w:pStyle w:val="a8"/>
          <w:jc w:val="right"/>
          <w:rPr>
            <w:rFonts w:ascii="Times New Roman" w:hAnsi="Times New Roman" w:cs="Times New Roman"/>
            <w:sz w:val="24"/>
            <w:szCs w:val="24"/>
          </w:rPr>
        </w:pPr>
        <w:r w:rsidRPr="005C4193">
          <w:rPr>
            <w:rFonts w:ascii="Times New Roman" w:hAnsi="Times New Roman" w:cs="Times New Roman"/>
            <w:sz w:val="24"/>
            <w:szCs w:val="24"/>
          </w:rPr>
          <w:fldChar w:fldCharType="begin"/>
        </w:r>
        <w:r w:rsidRPr="005C4193">
          <w:rPr>
            <w:rFonts w:ascii="Times New Roman" w:hAnsi="Times New Roman" w:cs="Times New Roman"/>
            <w:sz w:val="24"/>
            <w:szCs w:val="24"/>
          </w:rPr>
          <w:instrText>PAGE   \* MERGEFORMAT</w:instrText>
        </w:r>
        <w:r w:rsidRPr="005C4193">
          <w:rPr>
            <w:rFonts w:ascii="Times New Roman" w:hAnsi="Times New Roman" w:cs="Times New Roman"/>
            <w:sz w:val="24"/>
            <w:szCs w:val="24"/>
          </w:rPr>
          <w:fldChar w:fldCharType="separate"/>
        </w:r>
        <w:r w:rsidR="00C4737F">
          <w:rPr>
            <w:rFonts w:ascii="Times New Roman" w:hAnsi="Times New Roman" w:cs="Times New Roman"/>
            <w:noProof/>
            <w:sz w:val="24"/>
            <w:szCs w:val="24"/>
          </w:rPr>
          <w:t>2</w:t>
        </w:r>
        <w:r w:rsidRPr="005C4193">
          <w:rPr>
            <w:rFonts w:ascii="Times New Roman" w:hAnsi="Times New Roman" w:cs="Times New Roman"/>
            <w:sz w:val="24"/>
            <w:szCs w:val="24"/>
          </w:rPr>
          <w:fldChar w:fldCharType="end"/>
        </w:r>
      </w:p>
    </w:sdtContent>
  </w:sdt>
  <w:p w:rsidR="006A3750" w:rsidRDefault="006A37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414"/>
    <w:multiLevelType w:val="hybridMultilevel"/>
    <w:tmpl w:val="C7E6719C"/>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CF535A"/>
    <w:multiLevelType w:val="hybridMultilevel"/>
    <w:tmpl w:val="E1866218"/>
    <w:lvl w:ilvl="0" w:tplc="157EF4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8731B"/>
    <w:multiLevelType w:val="hybridMultilevel"/>
    <w:tmpl w:val="5B787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D731F"/>
    <w:multiLevelType w:val="hybridMultilevel"/>
    <w:tmpl w:val="64047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694E"/>
    <w:multiLevelType w:val="hybridMultilevel"/>
    <w:tmpl w:val="667E8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A0242B"/>
    <w:multiLevelType w:val="hybridMultilevel"/>
    <w:tmpl w:val="8AE26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37A85"/>
    <w:multiLevelType w:val="hybridMultilevel"/>
    <w:tmpl w:val="2E76D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D85027"/>
    <w:multiLevelType w:val="hybridMultilevel"/>
    <w:tmpl w:val="50B47FE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22E31BF9"/>
    <w:multiLevelType w:val="hybridMultilevel"/>
    <w:tmpl w:val="6FA6B5C0"/>
    <w:lvl w:ilvl="0" w:tplc="5C6E846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B2539B"/>
    <w:multiLevelType w:val="hybridMultilevel"/>
    <w:tmpl w:val="74B0F7F2"/>
    <w:lvl w:ilvl="0" w:tplc="6BF88ED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261F82"/>
    <w:multiLevelType w:val="hybridMultilevel"/>
    <w:tmpl w:val="D278F8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63F5CE6"/>
    <w:multiLevelType w:val="hybridMultilevel"/>
    <w:tmpl w:val="5E184916"/>
    <w:lvl w:ilvl="0" w:tplc="15BE7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C140D"/>
    <w:multiLevelType w:val="hybridMultilevel"/>
    <w:tmpl w:val="6B924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783B14"/>
    <w:multiLevelType w:val="hybridMultilevel"/>
    <w:tmpl w:val="5F5A8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7674B"/>
    <w:multiLevelType w:val="hybridMultilevel"/>
    <w:tmpl w:val="C7E6719C"/>
    <w:lvl w:ilvl="0" w:tplc="0419000F">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AA7698"/>
    <w:multiLevelType w:val="hybridMultilevel"/>
    <w:tmpl w:val="EC8EC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C5355D"/>
    <w:multiLevelType w:val="hybridMultilevel"/>
    <w:tmpl w:val="DB10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56426"/>
    <w:multiLevelType w:val="hybridMultilevel"/>
    <w:tmpl w:val="C45EEF58"/>
    <w:lvl w:ilvl="0" w:tplc="15BE7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1830D3"/>
    <w:multiLevelType w:val="hybridMultilevel"/>
    <w:tmpl w:val="F90AAD72"/>
    <w:lvl w:ilvl="0" w:tplc="CAEC7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CE3C79"/>
    <w:multiLevelType w:val="hybridMultilevel"/>
    <w:tmpl w:val="80C6A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7C601E"/>
    <w:multiLevelType w:val="hybridMultilevel"/>
    <w:tmpl w:val="05D2AAD0"/>
    <w:lvl w:ilvl="0" w:tplc="15BE74E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7C3BF3"/>
    <w:multiLevelType w:val="hybridMultilevel"/>
    <w:tmpl w:val="1E82E63A"/>
    <w:lvl w:ilvl="0" w:tplc="B81462B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8F22309"/>
    <w:multiLevelType w:val="hybridMultilevel"/>
    <w:tmpl w:val="8C90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1725CA"/>
    <w:multiLevelType w:val="hybridMultilevel"/>
    <w:tmpl w:val="D3F025AA"/>
    <w:lvl w:ilvl="0" w:tplc="15BE7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7"/>
  </w:num>
  <w:num w:numId="3">
    <w:abstractNumId w:val="20"/>
  </w:num>
  <w:num w:numId="4">
    <w:abstractNumId w:val="11"/>
  </w:num>
  <w:num w:numId="5">
    <w:abstractNumId w:val="8"/>
  </w:num>
  <w:num w:numId="6">
    <w:abstractNumId w:val="12"/>
  </w:num>
  <w:num w:numId="7">
    <w:abstractNumId w:val="21"/>
  </w:num>
  <w:num w:numId="8">
    <w:abstractNumId w:val="9"/>
  </w:num>
  <w:num w:numId="9">
    <w:abstractNumId w:val="18"/>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3"/>
  </w:num>
  <w:num w:numId="16">
    <w:abstractNumId w:val="5"/>
  </w:num>
  <w:num w:numId="17">
    <w:abstractNumId w:val="4"/>
  </w:num>
  <w:num w:numId="18">
    <w:abstractNumId w:val="16"/>
  </w:num>
  <w:num w:numId="19">
    <w:abstractNumId w:val="6"/>
  </w:num>
  <w:num w:numId="20">
    <w:abstractNumId w:val="2"/>
  </w:num>
  <w:num w:numId="21">
    <w:abstractNumId w:val="1"/>
  </w:num>
  <w:num w:numId="22">
    <w:abstractNumId w:val="3"/>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C8"/>
    <w:rsid w:val="00005F9E"/>
    <w:rsid w:val="000124BF"/>
    <w:rsid w:val="000754C4"/>
    <w:rsid w:val="000A3652"/>
    <w:rsid w:val="000A3788"/>
    <w:rsid w:val="000C66C6"/>
    <w:rsid w:val="00113E26"/>
    <w:rsid w:val="00142167"/>
    <w:rsid w:val="00145E44"/>
    <w:rsid w:val="002A1ACF"/>
    <w:rsid w:val="002F5599"/>
    <w:rsid w:val="003D47FF"/>
    <w:rsid w:val="003E6CBE"/>
    <w:rsid w:val="003F0150"/>
    <w:rsid w:val="003F4EC3"/>
    <w:rsid w:val="003F7DA0"/>
    <w:rsid w:val="004325CB"/>
    <w:rsid w:val="004A3AE1"/>
    <w:rsid w:val="004B381A"/>
    <w:rsid w:val="00555B9F"/>
    <w:rsid w:val="005C09E1"/>
    <w:rsid w:val="005C4193"/>
    <w:rsid w:val="005C6178"/>
    <w:rsid w:val="005F45B0"/>
    <w:rsid w:val="0066645E"/>
    <w:rsid w:val="006A3750"/>
    <w:rsid w:val="0086793E"/>
    <w:rsid w:val="00880280"/>
    <w:rsid w:val="008A5AF0"/>
    <w:rsid w:val="008C7F45"/>
    <w:rsid w:val="009114AA"/>
    <w:rsid w:val="00933C1F"/>
    <w:rsid w:val="00934725"/>
    <w:rsid w:val="00946D01"/>
    <w:rsid w:val="00994970"/>
    <w:rsid w:val="009A4CCF"/>
    <w:rsid w:val="00AA1A8D"/>
    <w:rsid w:val="00AF4211"/>
    <w:rsid w:val="00B023D1"/>
    <w:rsid w:val="00B208F9"/>
    <w:rsid w:val="00B32CC8"/>
    <w:rsid w:val="00B64A85"/>
    <w:rsid w:val="00C07C58"/>
    <w:rsid w:val="00C4737F"/>
    <w:rsid w:val="00C64CC7"/>
    <w:rsid w:val="00D1031D"/>
    <w:rsid w:val="00D75350"/>
    <w:rsid w:val="00E052C1"/>
    <w:rsid w:val="00E1765E"/>
    <w:rsid w:val="00E47CE3"/>
    <w:rsid w:val="00EB464F"/>
    <w:rsid w:val="00EC21E9"/>
    <w:rsid w:val="00EF22F8"/>
    <w:rsid w:val="00F97BD6"/>
    <w:rsid w:val="00FA0935"/>
    <w:rsid w:val="00FE6FB0"/>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52"/>
  </w:style>
  <w:style w:type="paragraph" w:styleId="1">
    <w:name w:val="heading 1"/>
    <w:basedOn w:val="a"/>
    <w:next w:val="a"/>
    <w:link w:val="10"/>
    <w:uiPriority w:val="9"/>
    <w:qFormat/>
    <w:rsid w:val="003F4E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652"/>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1"/>
    <w:qFormat/>
    <w:rsid w:val="000A3652"/>
    <w:pPr>
      <w:ind w:left="720"/>
      <w:contextualSpacing/>
    </w:pPr>
  </w:style>
  <w:style w:type="table" w:styleId="a4">
    <w:name w:val="Table Grid"/>
    <w:basedOn w:val="a1"/>
    <w:uiPriority w:val="39"/>
    <w:rsid w:val="003F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pt">
    <w:name w:val="Основной текст + 12;5 pt"/>
    <w:rsid w:val="00113E2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style>
  <w:style w:type="paragraph" w:styleId="HTML">
    <w:name w:val="HTML Preformatted"/>
    <w:basedOn w:val="a"/>
    <w:link w:val="HTML0"/>
    <w:uiPriority w:val="99"/>
    <w:semiHidden/>
    <w:unhideWhenUsed/>
    <w:rsid w:val="0011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3E26"/>
    <w:rPr>
      <w:rFonts w:ascii="Courier New" w:eastAsia="Times New Roman" w:hAnsi="Courier New" w:cs="Courier New"/>
      <w:sz w:val="20"/>
      <w:szCs w:val="20"/>
      <w:lang w:eastAsia="ru-RU"/>
    </w:rPr>
  </w:style>
  <w:style w:type="paragraph" w:customStyle="1" w:styleId="11">
    <w:name w:val="Основной текст1"/>
    <w:basedOn w:val="a"/>
    <w:rsid w:val="00113E26"/>
    <w:pPr>
      <w:widowControl w:val="0"/>
      <w:shd w:val="clear" w:color="auto" w:fill="FFFFFF"/>
      <w:spacing w:after="3420" w:line="240" w:lineRule="atLeast"/>
      <w:ind w:hanging="1920"/>
      <w:jc w:val="center"/>
    </w:pPr>
    <w:rPr>
      <w:rFonts w:ascii="Times New Roman" w:eastAsia="Times New Roman" w:hAnsi="Times New Roman" w:cs="Times New Roman"/>
      <w:sz w:val="27"/>
      <w:szCs w:val="27"/>
      <w:lang w:eastAsia="ru-RU"/>
    </w:rPr>
  </w:style>
  <w:style w:type="character" w:customStyle="1" w:styleId="a5">
    <w:name w:val="Основной текст Знак"/>
    <w:link w:val="a6"/>
    <w:locked/>
    <w:rsid w:val="00113E26"/>
    <w:rPr>
      <w:spacing w:val="3"/>
      <w:shd w:val="clear" w:color="auto" w:fill="FFFFFF"/>
    </w:rPr>
  </w:style>
  <w:style w:type="paragraph" w:styleId="a6">
    <w:name w:val="Body Text"/>
    <w:basedOn w:val="a"/>
    <w:link w:val="a5"/>
    <w:rsid w:val="00113E26"/>
    <w:pPr>
      <w:widowControl w:val="0"/>
      <w:shd w:val="clear" w:color="auto" w:fill="FFFFFF"/>
      <w:spacing w:after="0" w:line="240" w:lineRule="atLeast"/>
      <w:jc w:val="center"/>
    </w:pPr>
    <w:rPr>
      <w:spacing w:val="3"/>
    </w:rPr>
  </w:style>
  <w:style w:type="character" w:customStyle="1" w:styleId="12">
    <w:name w:val="Основной текст Знак1"/>
    <w:basedOn w:val="a0"/>
    <w:uiPriority w:val="99"/>
    <w:semiHidden/>
    <w:rsid w:val="00113E26"/>
  </w:style>
  <w:style w:type="paragraph" w:styleId="3">
    <w:name w:val="Body Text 3"/>
    <w:basedOn w:val="a"/>
    <w:link w:val="30"/>
    <w:semiHidden/>
    <w:rsid w:val="00113E26"/>
    <w:pPr>
      <w:spacing w:after="120" w:line="276" w:lineRule="auto"/>
    </w:pPr>
    <w:rPr>
      <w:rFonts w:ascii="Calibri" w:eastAsia="Calibri" w:hAnsi="Calibri" w:cs="Times New Roman"/>
      <w:sz w:val="16"/>
      <w:szCs w:val="16"/>
      <w:lang w:eastAsia="ru-RU"/>
    </w:rPr>
  </w:style>
  <w:style w:type="character" w:customStyle="1" w:styleId="30">
    <w:name w:val="Основной текст 3 Знак"/>
    <w:basedOn w:val="a0"/>
    <w:link w:val="3"/>
    <w:semiHidden/>
    <w:rsid w:val="00113E26"/>
    <w:rPr>
      <w:rFonts w:ascii="Calibri" w:eastAsia="Calibri" w:hAnsi="Calibri" w:cs="Times New Roman"/>
      <w:sz w:val="16"/>
      <w:szCs w:val="16"/>
      <w:lang w:eastAsia="ru-RU"/>
    </w:rPr>
  </w:style>
  <w:style w:type="character" w:styleId="a7">
    <w:name w:val="Hyperlink"/>
    <w:uiPriority w:val="99"/>
    <w:unhideWhenUsed/>
    <w:rsid w:val="00113E26"/>
    <w:rPr>
      <w:color w:val="0000FF"/>
      <w:u w:val="single"/>
    </w:rPr>
  </w:style>
  <w:style w:type="table" w:customStyle="1" w:styleId="13">
    <w:name w:val="Сетка таблицы1"/>
    <w:basedOn w:val="a1"/>
    <w:next w:val="a4"/>
    <w:uiPriority w:val="39"/>
    <w:rsid w:val="00933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37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3750"/>
  </w:style>
  <w:style w:type="paragraph" w:styleId="aa">
    <w:name w:val="footer"/>
    <w:basedOn w:val="a"/>
    <w:link w:val="ab"/>
    <w:uiPriority w:val="99"/>
    <w:unhideWhenUsed/>
    <w:rsid w:val="006A37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3750"/>
  </w:style>
  <w:style w:type="paragraph" w:styleId="ac">
    <w:name w:val="Balloon Text"/>
    <w:basedOn w:val="a"/>
    <w:link w:val="ad"/>
    <w:uiPriority w:val="99"/>
    <w:semiHidden/>
    <w:unhideWhenUsed/>
    <w:rsid w:val="006A37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750"/>
    <w:rPr>
      <w:rFonts w:ascii="Tahoma" w:hAnsi="Tahoma" w:cs="Tahoma"/>
      <w:sz w:val="16"/>
      <w:szCs w:val="16"/>
    </w:rPr>
  </w:style>
  <w:style w:type="table" w:customStyle="1" w:styleId="2">
    <w:name w:val="Сетка таблицы2"/>
    <w:basedOn w:val="a1"/>
    <w:next w:val="a4"/>
    <w:uiPriority w:val="39"/>
    <w:rsid w:val="0086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F4EC3"/>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semiHidden/>
    <w:unhideWhenUsed/>
    <w:qFormat/>
    <w:rsid w:val="00F97BD6"/>
    <w:pPr>
      <w:spacing w:line="276" w:lineRule="auto"/>
      <w:outlineLvl w:val="9"/>
    </w:pPr>
    <w:rPr>
      <w:lang w:eastAsia="ru-RU"/>
    </w:rPr>
  </w:style>
  <w:style w:type="paragraph" w:styleId="14">
    <w:name w:val="toc 1"/>
    <w:basedOn w:val="a"/>
    <w:next w:val="a"/>
    <w:autoRedefine/>
    <w:uiPriority w:val="39"/>
    <w:unhideWhenUsed/>
    <w:rsid w:val="00F97BD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52"/>
  </w:style>
  <w:style w:type="paragraph" w:styleId="1">
    <w:name w:val="heading 1"/>
    <w:basedOn w:val="a"/>
    <w:next w:val="a"/>
    <w:link w:val="10"/>
    <w:uiPriority w:val="9"/>
    <w:qFormat/>
    <w:rsid w:val="003F4E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3652"/>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1"/>
    <w:qFormat/>
    <w:rsid w:val="000A3652"/>
    <w:pPr>
      <w:ind w:left="720"/>
      <w:contextualSpacing/>
    </w:pPr>
  </w:style>
  <w:style w:type="table" w:styleId="a4">
    <w:name w:val="Table Grid"/>
    <w:basedOn w:val="a1"/>
    <w:uiPriority w:val="39"/>
    <w:rsid w:val="003F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pt">
    <w:name w:val="Основной текст + 12;5 pt"/>
    <w:rsid w:val="00113E26"/>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style>
  <w:style w:type="paragraph" w:styleId="HTML">
    <w:name w:val="HTML Preformatted"/>
    <w:basedOn w:val="a"/>
    <w:link w:val="HTML0"/>
    <w:uiPriority w:val="99"/>
    <w:semiHidden/>
    <w:unhideWhenUsed/>
    <w:rsid w:val="00113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3E26"/>
    <w:rPr>
      <w:rFonts w:ascii="Courier New" w:eastAsia="Times New Roman" w:hAnsi="Courier New" w:cs="Courier New"/>
      <w:sz w:val="20"/>
      <w:szCs w:val="20"/>
      <w:lang w:eastAsia="ru-RU"/>
    </w:rPr>
  </w:style>
  <w:style w:type="paragraph" w:customStyle="1" w:styleId="11">
    <w:name w:val="Основной текст1"/>
    <w:basedOn w:val="a"/>
    <w:rsid w:val="00113E26"/>
    <w:pPr>
      <w:widowControl w:val="0"/>
      <w:shd w:val="clear" w:color="auto" w:fill="FFFFFF"/>
      <w:spacing w:after="3420" w:line="240" w:lineRule="atLeast"/>
      <w:ind w:hanging="1920"/>
      <w:jc w:val="center"/>
    </w:pPr>
    <w:rPr>
      <w:rFonts w:ascii="Times New Roman" w:eastAsia="Times New Roman" w:hAnsi="Times New Roman" w:cs="Times New Roman"/>
      <w:sz w:val="27"/>
      <w:szCs w:val="27"/>
      <w:lang w:eastAsia="ru-RU"/>
    </w:rPr>
  </w:style>
  <w:style w:type="character" w:customStyle="1" w:styleId="a5">
    <w:name w:val="Основной текст Знак"/>
    <w:link w:val="a6"/>
    <w:locked/>
    <w:rsid w:val="00113E26"/>
    <w:rPr>
      <w:spacing w:val="3"/>
      <w:shd w:val="clear" w:color="auto" w:fill="FFFFFF"/>
    </w:rPr>
  </w:style>
  <w:style w:type="paragraph" w:styleId="a6">
    <w:name w:val="Body Text"/>
    <w:basedOn w:val="a"/>
    <w:link w:val="a5"/>
    <w:rsid w:val="00113E26"/>
    <w:pPr>
      <w:widowControl w:val="0"/>
      <w:shd w:val="clear" w:color="auto" w:fill="FFFFFF"/>
      <w:spacing w:after="0" w:line="240" w:lineRule="atLeast"/>
      <w:jc w:val="center"/>
    </w:pPr>
    <w:rPr>
      <w:spacing w:val="3"/>
    </w:rPr>
  </w:style>
  <w:style w:type="character" w:customStyle="1" w:styleId="12">
    <w:name w:val="Основной текст Знак1"/>
    <w:basedOn w:val="a0"/>
    <w:uiPriority w:val="99"/>
    <w:semiHidden/>
    <w:rsid w:val="00113E26"/>
  </w:style>
  <w:style w:type="paragraph" w:styleId="3">
    <w:name w:val="Body Text 3"/>
    <w:basedOn w:val="a"/>
    <w:link w:val="30"/>
    <w:semiHidden/>
    <w:rsid w:val="00113E26"/>
    <w:pPr>
      <w:spacing w:after="120" w:line="276" w:lineRule="auto"/>
    </w:pPr>
    <w:rPr>
      <w:rFonts w:ascii="Calibri" w:eastAsia="Calibri" w:hAnsi="Calibri" w:cs="Times New Roman"/>
      <w:sz w:val="16"/>
      <w:szCs w:val="16"/>
      <w:lang w:eastAsia="ru-RU"/>
    </w:rPr>
  </w:style>
  <w:style w:type="character" w:customStyle="1" w:styleId="30">
    <w:name w:val="Основной текст 3 Знак"/>
    <w:basedOn w:val="a0"/>
    <w:link w:val="3"/>
    <w:semiHidden/>
    <w:rsid w:val="00113E26"/>
    <w:rPr>
      <w:rFonts w:ascii="Calibri" w:eastAsia="Calibri" w:hAnsi="Calibri" w:cs="Times New Roman"/>
      <w:sz w:val="16"/>
      <w:szCs w:val="16"/>
      <w:lang w:eastAsia="ru-RU"/>
    </w:rPr>
  </w:style>
  <w:style w:type="character" w:styleId="a7">
    <w:name w:val="Hyperlink"/>
    <w:uiPriority w:val="99"/>
    <w:unhideWhenUsed/>
    <w:rsid w:val="00113E26"/>
    <w:rPr>
      <w:color w:val="0000FF"/>
      <w:u w:val="single"/>
    </w:rPr>
  </w:style>
  <w:style w:type="table" w:customStyle="1" w:styleId="13">
    <w:name w:val="Сетка таблицы1"/>
    <w:basedOn w:val="a1"/>
    <w:next w:val="a4"/>
    <w:uiPriority w:val="39"/>
    <w:rsid w:val="00933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A37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3750"/>
  </w:style>
  <w:style w:type="paragraph" w:styleId="aa">
    <w:name w:val="footer"/>
    <w:basedOn w:val="a"/>
    <w:link w:val="ab"/>
    <w:uiPriority w:val="99"/>
    <w:unhideWhenUsed/>
    <w:rsid w:val="006A37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3750"/>
  </w:style>
  <w:style w:type="paragraph" w:styleId="ac">
    <w:name w:val="Balloon Text"/>
    <w:basedOn w:val="a"/>
    <w:link w:val="ad"/>
    <w:uiPriority w:val="99"/>
    <w:semiHidden/>
    <w:unhideWhenUsed/>
    <w:rsid w:val="006A37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750"/>
    <w:rPr>
      <w:rFonts w:ascii="Tahoma" w:hAnsi="Tahoma" w:cs="Tahoma"/>
      <w:sz w:val="16"/>
      <w:szCs w:val="16"/>
    </w:rPr>
  </w:style>
  <w:style w:type="table" w:customStyle="1" w:styleId="2">
    <w:name w:val="Сетка таблицы2"/>
    <w:basedOn w:val="a1"/>
    <w:next w:val="a4"/>
    <w:uiPriority w:val="39"/>
    <w:rsid w:val="00867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F4EC3"/>
    <w:rPr>
      <w:rFonts w:asciiTheme="majorHAnsi" w:eastAsiaTheme="majorEastAsia" w:hAnsiTheme="majorHAnsi" w:cstheme="majorBidi"/>
      <w:b/>
      <w:bCs/>
      <w:color w:val="2E74B5" w:themeColor="accent1" w:themeShade="BF"/>
      <w:sz w:val="28"/>
      <w:szCs w:val="28"/>
    </w:rPr>
  </w:style>
  <w:style w:type="paragraph" w:styleId="ae">
    <w:name w:val="TOC Heading"/>
    <w:basedOn w:val="1"/>
    <w:next w:val="a"/>
    <w:uiPriority w:val="39"/>
    <w:semiHidden/>
    <w:unhideWhenUsed/>
    <w:qFormat/>
    <w:rsid w:val="00F97BD6"/>
    <w:pPr>
      <w:spacing w:line="276" w:lineRule="auto"/>
      <w:outlineLvl w:val="9"/>
    </w:pPr>
    <w:rPr>
      <w:lang w:eastAsia="ru-RU"/>
    </w:rPr>
  </w:style>
  <w:style w:type="paragraph" w:styleId="14">
    <w:name w:val="toc 1"/>
    <w:basedOn w:val="a"/>
    <w:next w:val="a"/>
    <w:autoRedefine/>
    <w:uiPriority w:val="39"/>
    <w:unhideWhenUsed/>
    <w:rsid w:val="00F97B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alth-ua.com/newspaper/tn_pediatriya/39235-tematichnij-nomer-pedatrya-4-47-gruden-2018-r" TargetMode="External"/><Relationship Id="rId18" Type="http://schemas.openxmlformats.org/officeDocument/2006/relationships/hyperlink" Target="https://doi.org/10.1093/ecco-jcc/jjw168//" TargetMode="External"/><Relationship Id="rId26" Type="http://schemas.openxmlformats.org/officeDocument/2006/relationships/hyperlink" Target="http://www.neonatology.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chrane.org" TargetMode="External"/><Relationship Id="rId34" Type="http://schemas.openxmlformats.org/officeDocument/2006/relationships/hyperlink" Target="http://www.rch.org.au/clinicalguide/index.cfm?doc_id=5033" TargetMode="External"/><Relationship Id="rId7" Type="http://schemas.openxmlformats.org/officeDocument/2006/relationships/footnotes" Target="footnotes.xml"/><Relationship Id="rId12" Type="http://schemas.openxmlformats.org/officeDocument/2006/relationships/hyperlink" Target="https://health-ua.com/newspaper/tn_nevro_psiholigiya_psihoteraoiya/30113-tematichnij-nomer-nevrologya-psihatrya-psihoterapya--2-41-cherven-2017-r" TargetMode="External"/><Relationship Id="rId17" Type="http://schemas.openxmlformats.org/officeDocument/2006/relationships/hyperlink" Target="https://journals.lww.com/jpgn/Fulltext/2017/01000/Paediatric_Gastrointestinal_Endoscopy___European.22.aspx" TargetMode="External"/><Relationship Id="rId25" Type="http://schemas.openxmlformats.org/officeDocument/2006/relationships/hyperlink" Target="http://aappolicy.aappublications.org/" TargetMode="External"/><Relationship Id="rId33" Type="http://schemas.openxmlformats.org/officeDocument/2006/relationships/hyperlink" Target="http://www.nzgg.org.nz/index.cfm?fuseaction=fuseaction_10&amp;fusesubaction=docs&amp;documentid=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org/guideline/treatment-of-helicobacter-pylori-infection//" TargetMode="External"/><Relationship Id="rId20" Type="http://schemas.openxmlformats.org/officeDocument/2006/relationships/hyperlink" Target="http://www.worldgastroenterology.org/guidelines/global-guidelines/probiotics-and-prebiotics?utm_source=UEG%20Website%20%E2%80%93%20Other%20Guidelines&amp;utm_campaign=UEG-Other%20Guidelines-Probiotics%20and%20prebiotics//" TargetMode="External"/><Relationship Id="rId29" Type="http://schemas.openxmlformats.org/officeDocument/2006/relationships/hyperlink" Target="http://www.pedialink.org/pedialink/neopix/index2.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obgyn.net" TargetMode="External"/><Relationship Id="rId32" Type="http://schemas.openxmlformats.org/officeDocument/2006/relationships/hyperlink" Target="http://www.crha-health.ab.ca/clin/cme/cpg/cpgdevproc.pdf" TargetMode="External"/><Relationship Id="rId37" Type="http://schemas.openxmlformats.org/officeDocument/2006/relationships/hyperlink" Target="http://www.gfmer.ch/Guidelines/Neonatology/Neonatology_mt.htm" TargetMode="External"/><Relationship Id="rId5" Type="http://schemas.openxmlformats.org/officeDocument/2006/relationships/settings" Target="settings.xml"/><Relationship Id="rId15" Type="http://schemas.openxmlformats.org/officeDocument/2006/relationships/hyperlink" Target="https://doi.org/10.1016/j.neubiorev.2018.09.002" TargetMode="External"/><Relationship Id="rId23" Type="http://schemas.openxmlformats.org/officeDocument/2006/relationships/hyperlink" Target="http://www.nejm.org" TargetMode="External"/><Relationship Id="rId28" Type="http://schemas.openxmlformats.org/officeDocument/2006/relationships/hyperlink" Target="http://www.sign.ac.uk/guidelines/fulltext/50/index.html" TargetMode="External"/><Relationship Id="rId36" Type="http://schemas.openxmlformats.org/officeDocument/2006/relationships/hyperlink" Target="http://www.rcog.org.uk/index.asp?PageID=8" TargetMode="External"/><Relationship Id="rId10" Type="http://schemas.openxmlformats.org/officeDocument/2006/relationships/oleObject" Target="embeddings/oleObject1.bin"/><Relationship Id="rId19" Type="http://schemas.openxmlformats.org/officeDocument/2006/relationships/hyperlink" Target="https://doi.org/10.1177/2050640616689525//" TargetMode="External"/><Relationship Id="rId31" Type="http://schemas.openxmlformats.org/officeDocument/2006/relationships/hyperlink" Target="http://leitlinien.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nice.org.uk" TargetMode="External"/><Relationship Id="rId22" Type="http://schemas.openxmlformats.org/officeDocument/2006/relationships/hyperlink" Target="http://www.medscape.com" TargetMode="External"/><Relationship Id="rId27" Type="http://schemas.openxmlformats.org/officeDocument/2006/relationships/hyperlink" Target="http://www.uihealthcare.com/depts/med/pediatrics/iowaneonatologyhandbook/index.ht" TargetMode="External"/><Relationship Id="rId30" Type="http://schemas.openxmlformats.org/officeDocument/2006/relationships/hyperlink" Target="http://www.uni-duesseldorf.de/AWMF/awmf-fr2.htm" TargetMode="External"/><Relationship Id="rId35" Type="http://schemas.openxmlformats.org/officeDocument/2006/relationships/hyperlink" Target="http://www.guideline.gov/browse/guideline_index.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60F4-0838-4B27-9F52-C42B7413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30478</Words>
  <Characters>17373</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Света</cp:lastModifiedBy>
  <cp:revision>54</cp:revision>
  <dcterms:created xsi:type="dcterms:W3CDTF">2021-03-20T09:17:00Z</dcterms:created>
  <dcterms:modified xsi:type="dcterms:W3CDTF">2022-07-06T10:29:00Z</dcterms:modified>
</cp:coreProperties>
</file>